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81A9" w14:textId="77777777" w:rsidR="00F444C5" w:rsidRDefault="00F444C5" w:rsidP="006D2630">
      <w:pPr>
        <w:pBdr>
          <w:bottom w:val="single" w:sz="4" w:space="1" w:color="auto"/>
        </w:pBdr>
        <w:jc w:val="right"/>
        <w:rPr>
          <w:b/>
          <w:i/>
          <w:iCs/>
          <w:lang w:eastAsia="zh-CN"/>
        </w:rPr>
      </w:pPr>
    </w:p>
    <w:p w14:paraId="106779A0" w14:textId="77777777" w:rsidR="00F444C5" w:rsidRDefault="00F444C5" w:rsidP="00F444C5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65991F56" w14:textId="5C67C0FA" w:rsidR="005C1EAB" w:rsidRPr="005C1EAB" w:rsidRDefault="005C1EAB" w:rsidP="005C1EAB">
      <w:pPr>
        <w:pStyle w:val="Default"/>
        <w:jc w:val="right"/>
        <w:rPr>
          <w:rFonts w:ascii="Times New Roman" w:hAnsi="Times New Roman" w:cs="Times New Roman"/>
          <w:b/>
          <w:i/>
          <w:iCs/>
          <w:lang w:eastAsia="zh-CN"/>
        </w:rPr>
      </w:pPr>
      <w:r w:rsidRPr="005C1EAB">
        <w:rPr>
          <w:rFonts w:ascii="Times New Roman" w:hAnsi="Times New Roman" w:cs="Times New Roman"/>
          <w:b/>
          <w:i/>
          <w:iCs/>
          <w:lang w:eastAsia="zh-CN"/>
        </w:rPr>
        <w:t>Załącznik nr 2 do SWZ</w:t>
      </w:r>
    </w:p>
    <w:p w14:paraId="68190E08" w14:textId="77777777" w:rsidR="00F444C5" w:rsidRDefault="00F444C5" w:rsidP="004B1CE4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2C5C9A42" w14:textId="03301EC5" w:rsidR="00204257" w:rsidRDefault="00FD3206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CE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Opis przedmiotu zamówienia pn. </w:t>
      </w:r>
      <w:r w:rsidR="00F444C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„</w:t>
      </w:r>
      <w:r w:rsidR="00F444C5">
        <w:rPr>
          <w:rFonts w:ascii="Times New Roman" w:hAnsi="Times New Roman" w:cs="Times New Roman"/>
          <w:b/>
          <w:bCs/>
          <w:sz w:val="28"/>
          <w:szCs w:val="28"/>
        </w:rPr>
        <w:t>Przebudowa budynku świetlicy wiejskiej w Łagiewnikach, gmina Chmielnik”</w:t>
      </w:r>
    </w:p>
    <w:p w14:paraId="4F78DF0B" w14:textId="6B11883A" w:rsidR="000752DF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AA4141B" w14:textId="77777777" w:rsidR="000752DF" w:rsidRPr="004B1CE4" w:rsidRDefault="000752DF" w:rsidP="004B1CE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CBBC9F" w14:textId="06DCEFD5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1.</w:t>
      </w:r>
      <w:r w:rsidRPr="00834815">
        <w:rPr>
          <w:rFonts w:ascii="Times New Roman" w:hAnsi="Times New Roman" w:cs="Times New Roman"/>
          <w:snapToGrid w:val="0"/>
        </w:rPr>
        <w:t>Przedmiotem zamierzenia budowlanego</w:t>
      </w:r>
      <w:r w:rsidRPr="00834815">
        <w:rPr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pn.</w:t>
      </w:r>
      <w:r>
        <w:rPr>
          <w:snapToGrid w:val="0"/>
        </w:rPr>
        <w:t xml:space="preserve"> </w:t>
      </w:r>
      <w:r w:rsidRPr="008C55E5">
        <w:rPr>
          <w:rFonts w:ascii="Times New Roman" w:hAnsi="Times New Roman" w:cs="Times New Roman"/>
          <w:b/>
          <w:bCs/>
        </w:rPr>
        <w:t>„</w:t>
      </w:r>
      <w:r w:rsidRPr="00BD5BFF">
        <w:rPr>
          <w:rFonts w:ascii="Times New Roman" w:hAnsi="Times New Roman" w:cs="Times New Roman"/>
          <w:b/>
          <w:bCs/>
        </w:rPr>
        <w:t>Przebudowa budynku świetlicy wiejskiej w Łagiewnikach, gmina Chmielnik</w:t>
      </w:r>
      <w:r>
        <w:rPr>
          <w:rFonts w:ascii="Times New Roman" w:hAnsi="Times New Roman" w:cs="Times New Roman"/>
          <w:b/>
          <w:bCs/>
        </w:rPr>
        <w:t xml:space="preserve">” </w:t>
      </w:r>
      <w:r w:rsidRPr="000702E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termomodernizacja i przebudowa budynku świetlicy wiejskiej wraz z instalacjami wewnętrznymi: wod – kan., elektryczną, c.o. </w:t>
      </w:r>
      <w:r w:rsidR="00A16E32">
        <w:rPr>
          <w:rFonts w:ascii="Times New Roman" w:hAnsi="Times New Roman" w:cs="Times New Roman"/>
        </w:rPr>
        <w:t xml:space="preserve">, gazową </w:t>
      </w:r>
      <w:r>
        <w:rPr>
          <w:rFonts w:ascii="Times New Roman" w:hAnsi="Times New Roman" w:cs="Times New Roman"/>
        </w:rPr>
        <w:t>i wentylacji mechanicznej.</w:t>
      </w:r>
    </w:p>
    <w:p w14:paraId="170FCF1F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świetlicy zlokalizowany jest na działkach nr ewid. 379 i 381 w miejscowości Łagiewniki,</w:t>
      </w:r>
    </w:p>
    <w:p w14:paraId="548983F2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dwie kondygnacje nadziemne i jedną podziemną. Pokrycie dachu z płyt eternitu falistego.</w:t>
      </w:r>
    </w:p>
    <w:p w14:paraId="3A97B0C8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 budynku: długość – 22,08 m, szerokość 12,06 m, wysokość 9,46 m.</w:t>
      </w:r>
    </w:p>
    <w:p w14:paraId="6865C8A3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całkowita 522,00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kubatura 2 014,40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23CF0935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8A0F09F" w14:textId="77777777" w:rsidR="00D55D42" w:rsidRPr="00781A48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2. Zakres prac inwestycyjnych obejmuje:</w:t>
      </w:r>
    </w:p>
    <w:p w14:paraId="313BF0B5" w14:textId="78C8C94B" w:rsidR="00D55D42" w:rsidRDefault="00D55D42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1) ocieplenie ścian budynku wraz z elewacją z tynku strukturalnego cienkowarstwowego.</w:t>
      </w:r>
      <w:r>
        <w:rPr>
          <w:rFonts w:ascii="Times New Roman" w:hAnsi="Times New Roman" w:cs="Times New Roman"/>
        </w:rPr>
        <w:t xml:space="preserve"> Ocieplenie ścian fundamentowych styropianem grubości 15 cm, ocieplenie ścian wełną skalną grubości 20 cm.</w:t>
      </w:r>
    </w:p>
    <w:p w14:paraId="094E2CD8" w14:textId="77777777" w:rsidR="005E10B4" w:rsidRPr="00781A48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2) przebudowę wewnętrznych instalacji:</w:t>
      </w:r>
    </w:p>
    <w:p w14:paraId="7178FDA9" w14:textId="0F78534D" w:rsidR="005E10B4" w:rsidRDefault="005E10B4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-</w:t>
      </w:r>
      <w:r w:rsidR="00D55D42" w:rsidRPr="00781A48">
        <w:rPr>
          <w:rFonts w:ascii="Times New Roman" w:hAnsi="Times New Roman" w:cs="Times New Roman"/>
          <w:b/>
          <w:bCs/>
        </w:rPr>
        <w:t xml:space="preserve"> c.o.</w:t>
      </w:r>
      <w:r w:rsidR="00AC19FB">
        <w:rPr>
          <w:rFonts w:ascii="Times New Roman" w:hAnsi="Times New Roman" w:cs="Times New Roman"/>
        </w:rPr>
        <w:t xml:space="preserve"> – instalacja cent</w:t>
      </w:r>
      <w:r w:rsidR="00840423">
        <w:rPr>
          <w:rFonts w:ascii="Times New Roman" w:hAnsi="Times New Roman" w:cs="Times New Roman"/>
        </w:rPr>
        <w:t>r</w:t>
      </w:r>
      <w:r w:rsidR="00AC19FB">
        <w:rPr>
          <w:rFonts w:ascii="Times New Roman" w:hAnsi="Times New Roman" w:cs="Times New Roman"/>
        </w:rPr>
        <w:t>alnego ogrzewania zasilana będzie wodą grzewczą z kotła gazowego na gaz płynny ( przyłącze gazowe nie jest przedmiotem niniejszego postępowania. Gmina oczekuje na uzyskanie pozwolenia na budowę przyłącza gazowego).</w:t>
      </w:r>
      <w:r w:rsidR="00916DFA">
        <w:rPr>
          <w:rFonts w:ascii="Times New Roman" w:hAnsi="Times New Roman" w:cs="Times New Roman"/>
        </w:rPr>
        <w:t xml:space="preserve"> Całość istniejącej instalacji na obiekcie jest przeznaczona do likwidacji. Kocioł gazowy montowany na zewnątrz budynku </w:t>
      </w:r>
      <w:r w:rsidR="00A16E32">
        <w:rPr>
          <w:rFonts w:ascii="Times New Roman" w:hAnsi="Times New Roman" w:cs="Times New Roman"/>
        </w:rPr>
        <w:t xml:space="preserve">w  dedykowanej systemowej szafce zewnętrznej. </w:t>
      </w:r>
    </w:p>
    <w:p w14:paraId="2D7576E3" w14:textId="631D317F" w:rsidR="00781A48" w:rsidRDefault="00781A48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</w:rPr>
        <w:t>Kocioł c.o. np. KONm R24 LPG, Q=24kW (50/30°C), E=0,2kW, V=230V, wym. 420/345/700 mm. (szer/gł/wys.), 32,5kg. Kocioł zlokalizowany w systemowej szafie natyn-kowej do instalacji kotła KONm 18/24 na zewnątrz budynku, wym. szafki 550/260/1140 mm. (szer/gł/wys.). Odprowadzenie spalin rurą koncentryczną DN80-125. Stosować system po-wietrzno-spalinowy producenta urządzenia. Do kotła stosować zestaw podłączeniowy do za-sobnika c.w.u. składający się z zaworu trójdrogowego wraz z siłownikiem. Do kotła stosować zestaw grzałki przeciwzamrożeniowej dla syfonów i rur - wg DTR producenta. Dobrane urzą-dzenie jest dedykowane pod instalację LPG.</w:t>
      </w:r>
    </w:p>
    <w:p w14:paraId="258DE20B" w14:textId="77777777" w:rsidR="007C15C2" w:rsidRDefault="007C15C2" w:rsidP="007C15C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AEF51A2" w14:textId="090F2868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C15C2">
        <w:rPr>
          <w:rFonts w:eastAsiaTheme="minorHAnsi"/>
          <w:b/>
          <w:bCs/>
          <w:color w:val="000000"/>
          <w:lang w:eastAsia="en-US"/>
        </w:rPr>
        <w:t xml:space="preserve">Parametry projektowanej instalacji c.o. </w:t>
      </w:r>
    </w:p>
    <w:p w14:paraId="7A1BB746" w14:textId="6F0E992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Przepływ – 0,6 m3/h </w:t>
      </w:r>
    </w:p>
    <w:p w14:paraId="1452E95A" w14:textId="58BD1D51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Temperatura czynnika - 60/40°C woda </w:t>
      </w:r>
    </w:p>
    <w:p w14:paraId="4BCECAFB" w14:textId="17080B98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Moc grzewcza instalacji - 15,0 kW </w:t>
      </w:r>
    </w:p>
    <w:p w14:paraId="574DDC3E" w14:textId="75AA926D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Strata ciśnienia - ok. 30 kPa </w:t>
      </w:r>
    </w:p>
    <w:p w14:paraId="6107274A" w14:textId="0F83DD80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Przykładowe parametry pompy obiegowej – q=0,6 m3/h. H=30 kPa </w:t>
      </w:r>
    </w:p>
    <w:p w14:paraId="6A7B29E2" w14:textId="1CD02B24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Pr="007C15C2">
        <w:rPr>
          <w:rFonts w:eastAsiaTheme="minorHAnsi"/>
          <w:color w:val="000000"/>
          <w:lang w:eastAsia="en-US"/>
        </w:rPr>
        <w:t xml:space="preserve"> Pojemność instalacji – 260 dm3 </w:t>
      </w:r>
    </w:p>
    <w:p w14:paraId="10C52867" w14:textId="77777777" w:rsidR="007C15C2" w:rsidRPr="00781A48" w:rsidRDefault="007C15C2" w:rsidP="00D55D42">
      <w:pPr>
        <w:pStyle w:val="Default"/>
        <w:jc w:val="both"/>
        <w:rPr>
          <w:rFonts w:ascii="Times New Roman" w:hAnsi="Times New Roman" w:cs="Times New Roman"/>
        </w:rPr>
      </w:pPr>
    </w:p>
    <w:p w14:paraId="0A04AF24" w14:textId="77777777" w:rsidR="00781A48" w:rsidRDefault="00781A48" w:rsidP="00D55D42">
      <w:pPr>
        <w:pStyle w:val="Default"/>
        <w:jc w:val="both"/>
        <w:rPr>
          <w:rFonts w:ascii="Times New Roman" w:hAnsi="Times New Roman" w:cs="Times New Roman"/>
        </w:rPr>
      </w:pPr>
    </w:p>
    <w:p w14:paraId="1CF3DB9A" w14:textId="2AA15A4C" w:rsidR="005E10B4" w:rsidRDefault="005E10B4" w:rsidP="00D55D42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lastRenderedPageBreak/>
        <w:t>-</w:t>
      </w:r>
      <w:r w:rsidR="00D55D42" w:rsidRPr="00781A48">
        <w:rPr>
          <w:rFonts w:ascii="Times New Roman" w:hAnsi="Times New Roman" w:cs="Times New Roman"/>
          <w:b/>
          <w:bCs/>
        </w:rPr>
        <w:t>wod – kan</w:t>
      </w:r>
      <w:r w:rsidR="00D55D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 likwidacja istniejącej instalacji. Budowa nowej instalacji od licznika wody z rur wielowarstwowych PEX/AL./PEX łączonych metodą zaciskową. Główne rozprowadzenie wody pod stropem w przestrzeni sufitów podwieszanych. Ciepła woda użytkowa będzie przygotowywana w zbiorniku c.w.u. Odprowadzenie ścieków – wymiana istniejących  rurociągów posadzkowych od granicy przejścia do budynku. Instalacja z rur PVC łączonych za pomocą kielichów.</w:t>
      </w:r>
    </w:p>
    <w:p w14:paraId="6963495A" w14:textId="77777777" w:rsidR="00E767B8" w:rsidRPr="00E767B8" w:rsidRDefault="005E10B4" w:rsidP="00E767B8">
      <w:pPr>
        <w:pStyle w:val="Default"/>
        <w:rPr>
          <w:rFonts w:ascii="DINPro" w:eastAsiaTheme="minorHAnsi" w:hAnsi="DINPro" w:cs="DINPro"/>
          <w:lang w:eastAsia="en-US"/>
        </w:rPr>
      </w:pPr>
      <w:r w:rsidRPr="00781A48">
        <w:rPr>
          <w:rFonts w:ascii="Times New Roman" w:hAnsi="Times New Roman" w:cs="Times New Roman"/>
          <w:b/>
          <w:bCs/>
        </w:rPr>
        <w:t xml:space="preserve">- </w:t>
      </w:r>
      <w:r w:rsidR="00D55D42" w:rsidRPr="00781A48">
        <w:rPr>
          <w:rFonts w:ascii="Times New Roman" w:hAnsi="Times New Roman" w:cs="Times New Roman"/>
          <w:b/>
          <w:bCs/>
        </w:rPr>
        <w:t xml:space="preserve">elektrycznej </w:t>
      </w:r>
      <w:r w:rsidR="00E767B8">
        <w:rPr>
          <w:rFonts w:ascii="Times New Roman" w:hAnsi="Times New Roman" w:cs="Times New Roman"/>
          <w:b/>
          <w:bCs/>
        </w:rPr>
        <w:t xml:space="preserve"> - </w:t>
      </w:r>
    </w:p>
    <w:p w14:paraId="21020413" w14:textId="77777777" w:rsidR="00E767B8" w:rsidRPr="00E767B8" w:rsidRDefault="00E767B8" w:rsidP="00E767B8">
      <w:pPr>
        <w:autoSpaceDE w:val="0"/>
        <w:autoSpaceDN w:val="0"/>
        <w:adjustRightInd w:val="0"/>
        <w:rPr>
          <w:rFonts w:ascii="DINPro" w:eastAsiaTheme="minorHAnsi" w:hAnsi="DINPro" w:cstheme="minorBidi"/>
          <w:lang w:eastAsia="en-US"/>
        </w:rPr>
      </w:pPr>
    </w:p>
    <w:p w14:paraId="65630279" w14:textId="7578737B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</w:t>
      </w:r>
    </w:p>
    <w:p w14:paraId="2262D74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zostanie wykonana przy pomocy przewodów izolowanych NHXMH-J 3x1,5mm2. Sterowanie oświetleniem pomieszczeń odbywać się będzie przy pomocy łączników oraz czujników obecności. </w:t>
      </w:r>
    </w:p>
    <w:p w14:paraId="44EA0AF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Łączniki instalować na wysokości 130cm od poziomu posadzki. Rozmieszczenie łączników oraz opraw oświetleniowych pokazano na planach instalacji elektrycznej. </w:t>
      </w:r>
    </w:p>
    <w:p w14:paraId="61B3CB2C" w14:textId="28F3196A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OŚWIETLENIA AWARYJNEGO </w:t>
      </w:r>
    </w:p>
    <w:p w14:paraId="3C67DC3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Oświetlenie awaryjne ewakuacyjne zaprojektowano z uwzględnieniem wymagań normy PN-EN 1838:2013. Zgodnie z normą, podstawą funkcją oświetlenia ewakuacyjnego jest zapewnienie warunków do bezpiecznego wyjścia z miejsca przebywania osób w przypadku zaniku oświetlenia podstawowego. Oświetlenie ewakuacyjne powinno umożliwić odnalezienie drogi ewakuacyjnej i właściwego kierunku poruszania się, a także łatwe zlokalizowanie i użycie sprzętu przeciwpożarowego i pierwszej pomocy medycznej. </w:t>
      </w:r>
    </w:p>
    <w:p w14:paraId="7776E60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Wymagania ogólne dla oświetlenia ewakuacyjnego </w:t>
      </w:r>
    </w:p>
    <w:p w14:paraId="27640E36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Oprawy oświetlenia ewakuacyjnego powinny być umieszczane: </w:t>
      </w:r>
    </w:p>
    <w:p w14:paraId="4481FBC4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każdych drzwiach wyjściowych przeznaczonych do użycia w przypadku zagrożenia, </w:t>
      </w:r>
    </w:p>
    <w:p w14:paraId="49A4795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schodów tak, aby każdy stopień był oświetlony bezpośrednio, </w:t>
      </w:r>
    </w:p>
    <w:p w14:paraId="45D041CB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każdej zmiany poziomu drogi ewakuacyjnej, </w:t>
      </w:r>
    </w:p>
    <w:p w14:paraId="6178E941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obowiązkowo przy wyjściach ewakuacyjnych i znakach bezpieczeństwa, </w:t>
      </w:r>
    </w:p>
    <w:p w14:paraId="76993AA7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każdej zmianie kierunku drogi ewakuacyjnej, </w:t>
      </w:r>
    </w:p>
    <w:p w14:paraId="6F6C02E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każdym skrzyżowaniu korytarzy, </w:t>
      </w:r>
    </w:p>
    <w:p w14:paraId="1DB8BABA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na zewnątrz i w pobliżu każdego wyjścia końcowego (na zewnątrz obiektu lub strefy bezpiecznej), </w:t>
      </w:r>
    </w:p>
    <w:p w14:paraId="52E044D1" w14:textId="77777777" w:rsidR="00E767B8" w:rsidRPr="007156BA" w:rsidRDefault="00E767B8" w:rsidP="007156BA">
      <w:pPr>
        <w:autoSpaceDE w:val="0"/>
        <w:autoSpaceDN w:val="0"/>
        <w:adjustRightInd w:val="0"/>
        <w:spacing w:after="21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każdego punktu pierwszej pomocy, </w:t>
      </w:r>
    </w:p>
    <w:p w14:paraId="00BCD834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pobliżu każdego urządzenia przeciwpożarowego i ręcznego przycisku ppoż. </w:t>
      </w:r>
    </w:p>
    <w:p w14:paraId="20C82AD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Czas działania oświetlenia ewakuacyjnego nie może być krótszy od jednej godziny. Natężenie oświetlenia ewakuacyjnego (wg PN EN 1838:2013): </w:t>
      </w:r>
    </w:p>
    <w:p w14:paraId="3A1F216A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 osi drogi ewakuacyjnej – min.1 lx, </w:t>
      </w:r>
    </w:p>
    <w:p w14:paraId="5751ADA8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przy punktach pierwszej pomocy i urządzeniach ppoż. – min. 5 lx, </w:t>
      </w:r>
    </w:p>
    <w:p w14:paraId="737FF12D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na drogach ewakuacyjnych stosunek max do min. natężenia oświetlenia nie może być większy niż 1:40. </w:t>
      </w:r>
    </w:p>
    <w:p w14:paraId="713F11A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Dobór i rozmieszczenie lamp </w:t>
      </w:r>
    </w:p>
    <w:p w14:paraId="1B958CE3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Do wykonania instalacji przyjęto montaż samodzielnych lamp oświetlenia ewakuacyjnego wyposażonych w baterie akumulatorową, pracujących „na ciemno” – za wyjątkiem opraw awaryjnych zewnętrznych, które w godzinach nocnych pracować będą „na jasno”. Czas działania oświetlenia ewakuacyjnego z przedmiotowych opraw ewakuacyjnych wynosi minimum 1 godzinę. </w:t>
      </w:r>
    </w:p>
    <w:p w14:paraId="726D2FF0" w14:textId="131A826B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Plan instalacji awaryjnego oświetlenia awaryjnego ewakuacyjnego – rozmieszczenie opraw pokazano w części rysunkowej. </w:t>
      </w:r>
    </w:p>
    <w:p w14:paraId="61D511B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6162367" w14:textId="77777777" w:rsidR="00E767B8" w:rsidRPr="007156BA" w:rsidRDefault="00E767B8" w:rsidP="007156BA">
      <w:pPr>
        <w:pageBreakBefore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lastRenderedPageBreak/>
        <w:t xml:space="preserve">Wykonanie instalacji oświetlenia awaryjnego </w:t>
      </w:r>
    </w:p>
    <w:p w14:paraId="5A58F28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Zasilanie opraw awaryjnych i ewakuacyjnych wykonać z obwodów oświetlenia podstawowego. Zastosować przewody kabelkowe NHXMH-J 4x1,5mm2. Montaż opraw oświetlenia awaryjnego wykonać przy zastosowaniu kołków odpornych ogniowo. </w:t>
      </w:r>
    </w:p>
    <w:p w14:paraId="215DAD51" w14:textId="7B09EC9A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GNIAZD WTYKOWYCH 400V I 230V </w:t>
      </w:r>
    </w:p>
    <w:p w14:paraId="14F677C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Instalację gniazda 400V wykonać należy przewodami NHXMH-J o przekroju zgodnym z częścią rysunkową dołączoną do dokumentacji. </w:t>
      </w:r>
    </w:p>
    <w:p w14:paraId="4E5E1E0E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budynku projektuje się również gniazda 1-fazowe 230V zasilające odbiory ogólnego przeznaczenia. Instalację gniazd wtykowych 230V wykonać należy przewodami typu NHXMH 3x2,5mm2 o izolacji 750V jako instalację podtynkową. Gniazda ogólne instalować 0,3m od poziomu posadzki. Wysokość instalacji gniazd w pomieszczeniach sanitarnych oraz technicznych wykonać zgodnie z życzeniami: technologa i dostawcy urządzeń. Przy instalowaniu gniazd wtykowych należy uwzględnić minimalną odległość 60 cm od umywalek, zlewozmywaków oraz kotłów gazowych. </w:t>
      </w:r>
    </w:p>
    <w:p w14:paraId="0BB3D63B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łazienkach należy przestrzegać wymagań normy PN – HD 60364–7-701 dotyczącej lokalizacji urządzeń rozdzielczych, osprzętu łączeniowego oraz odbiorników. </w:t>
      </w:r>
    </w:p>
    <w:p w14:paraId="0D2E526E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pomieszczeniach ogólnodostępnych należy zastosować gniazda z blokadą zabezpieczającą przed niepożądanym dostępem dzieci. </w:t>
      </w:r>
    </w:p>
    <w:p w14:paraId="451CF3E4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Instalacje odbiorcze zaprojektowano z uwzględnieniem wymogów funkcjonalnych poszczególnych pomieszczeń, rozkładu tych pomieszczeń, zapotrzebowanych mocy oraz wytycznych użytkownika. </w:t>
      </w:r>
    </w:p>
    <w:p w14:paraId="02C558EF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Przy wykonaniu instalacji należy się kierować „Wytycznymi wymiarowania i wyposażenia instalacji” będących załącznikiem do N SEP – E – 002 w zakresie stref instalacyjnych dla umieszczania na ścianach przewodów i osprzętu instalacyjnego. </w:t>
      </w:r>
    </w:p>
    <w:p w14:paraId="67F179E6" w14:textId="1CBA0DFB" w:rsidR="00E767B8" w:rsidRPr="007156BA" w:rsidRDefault="00E767B8" w:rsidP="007156BA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SYSTEMU SYGNALIZACJI NAPADU I WŁAMANIA - SSWiN </w:t>
      </w:r>
    </w:p>
    <w:p w14:paraId="30D9D8D5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Opis systemu </w:t>
      </w:r>
    </w:p>
    <w:p w14:paraId="306042EA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Remontowany obiekt należy wyposażyć w system sygnalizacji włamania i napadu tzw. system alarmowy z podziałem na osobny system dla świetlicy wiejskiej oraz sklepu. Jego zadaniem będzie ochrona w/w pomieszczeń po zamknięciu oraz skuteczna możliwość zaalarmowania odpowiednich osób i służb w przypadku zaistnienia sygnału alarmu. </w:t>
      </w:r>
    </w:p>
    <w:p w14:paraId="77F3D52F" w14:textId="1B77D601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>W związku z podziałem obiektu na dwie niezależne części należy w obiekcie zabudować dwa systemy do każdej z części. Systemy będą obsługiwan</w:t>
      </w:r>
      <w:r w:rsidR="007156BA">
        <w:rPr>
          <w:rFonts w:eastAsiaTheme="minorHAnsi"/>
          <w:lang w:eastAsia="en-US"/>
        </w:rPr>
        <w:t>e</w:t>
      </w:r>
      <w:r w:rsidRPr="007156BA">
        <w:rPr>
          <w:rFonts w:eastAsiaTheme="minorHAnsi"/>
          <w:lang w:eastAsia="en-US"/>
        </w:rPr>
        <w:t xml:space="preserve"> przy użyciu manipulatorów LCD zlokalizowan</w:t>
      </w:r>
      <w:r w:rsidR="007156BA">
        <w:rPr>
          <w:rFonts w:eastAsiaTheme="minorHAnsi"/>
          <w:lang w:eastAsia="en-US"/>
        </w:rPr>
        <w:t>ych</w:t>
      </w:r>
      <w:r w:rsidRPr="007156BA">
        <w:rPr>
          <w:rFonts w:eastAsiaTheme="minorHAnsi"/>
          <w:lang w:eastAsia="en-US"/>
        </w:rPr>
        <w:t xml:space="preserve"> w pobliżu wejść do pomieszczeń zabudowanych w dedykowanych obudowach. Projektuje się modułowe, mikroprocesorowe centralki alarmowe z funkcją pamięci zdarzeń oraz funkcją zasilania awaryjnego w postaci akumulatorów. System będzie nadzorowany przez dualne czujniki ruchu zabudowane w pomieszczeniach zgodnie z częścią rysunkową. Sygnalizacja alarmu będzie zrealizowana w formie sygnalizacji optyczno-akustycznej na zewnątrz budynku. System powinien być wyposażony w funkcję powiadamiania telefonicznego przy użyciu transmisji GSM. </w:t>
      </w:r>
    </w:p>
    <w:p w14:paraId="60466588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Podstawowe zagrożenia, z jakimi może spotkać się omawiany obiekt to: </w:t>
      </w:r>
    </w:p>
    <w:p w14:paraId="07B1FD2F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włamanie do obiektu przez drzwi wejściowe </w:t>
      </w:r>
    </w:p>
    <w:p w14:paraId="524AA155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włamanie do obiektu przez okna </w:t>
      </w:r>
    </w:p>
    <w:p w14:paraId="1283DEA9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związku z powyższym, ochroną objęto: </w:t>
      </w:r>
    </w:p>
    <w:p w14:paraId="6801A886" w14:textId="77777777" w:rsidR="00E767B8" w:rsidRPr="007156BA" w:rsidRDefault="00E767B8" w:rsidP="007156BA">
      <w:pPr>
        <w:autoSpaceDE w:val="0"/>
        <w:autoSpaceDN w:val="0"/>
        <w:adjustRightInd w:val="0"/>
        <w:spacing w:after="2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wszystkie drzwi wejściowe do obiektu </w:t>
      </w:r>
    </w:p>
    <w:p w14:paraId="22AB0030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wszystkie okna </w:t>
      </w:r>
    </w:p>
    <w:p w14:paraId="1532ED4F" w14:textId="77777777" w:rsidR="00E767B8" w:rsidRPr="007156BA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B5EFF2A" w14:textId="6BCF8B0D" w:rsidR="00E767B8" w:rsidRDefault="00E767B8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obiekcie zainstalowane zostaną centralki systemu sygnalizacji włamania i napadu umożliwiająca w przyszłości rozbudową systemu o dodatkowe elementy detekcyjne, </w:t>
      </w:r>
      <w:r w:rsidRPr="007156BA">
        <w:rPr>
          <w:rFonts w:eastAsiaTheme="minorHAnsi"/>
          <w:lang w:eastAsia="en-US"/>
        </w:rPr>
        <w:lastRenderedPageBreak/>
        <w:t xml:space="preserve">funkcjonalności. Centralki należy zainstalować w odpowiednio dobranej obudowie z miejscem na akumulator w pom. 0.4 (dla świetlicy) oraz 0.8 (dla sklepu) wraz z niezbędnymi komponentami. Klawiatury do obsługi systemów zlokalizowane zostały przy głównych drzwiach wejściowych do obu części. Wspólną magistralę Corbus dla modułów rozszerzeń jak i klawiatur systemu wykonać przewodem YTDY 6x0,5mm układanym podtynkowo. Rozmieszczenie czujek ruchu jak i sygnalizatorów (sygnalizator zewnętrzny zamontować na elewacji budynku na poziomie I piętra) pokazano w części rysunkowej. Linie dozorowe wykonać przewodem YTDY 6x0,5mm. System będzie posiadał dwa źródła zasilania podstawowe i rezerwowe przy zastosowaniu dedykowanych akumulatorów zabudowanych w obudowie centralki. </w:t>
      </w:r>
    </w:p>
    <w:p w14:paraId="0733CF6F" w14:textId="77777777" w:rsidR="007156BA" w:rsidRPr="007156BA" w:rsidRDefault="007156BA" w:rsidP="007156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66F9465" w14:textId="141668DD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OKABLOWANIA STRUKTURALNEGO – LAN </w:t>
      </w:r>
    </w:p>
    <w:p w14:paraId="57F426AE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Zadaniem instalacji teleinformatycznej jest zapewnienie transmisji danych, transmisji głosu i telewizji przez jednolitą strukturę kablową. </w:t>
      </w:r>
    </w:p>
    <w:p w14:paraId="4C7CC16B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Okablowanie poziome miedziane </w:t>
      </w:r>
    </w:p>
    <w:p w14:paraId="69150866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Ze względu na dużą koncentrację przewodów transmisyjnych i poziom oddziaływań pomiędzy nimi jako medium transmisyjne należy zastosować ekranowany kabel typu U/UTP kat.6 w osłonie bezhalogenowej LSOH zgodna z IEC 60332-3-24 (średnica żyły 23AWG). Należy zastosować kabel o klasie odporności na działanie ognia, zgodnie z Euroklasą, minimum B2ca s1a d0 a1. Ekrany kabla występują w postaci jednostronnie laminowanej folii aluminiowej, przy czym oddzielnie ekranowana jest każda para transmisyjna. </w:t>
      </w:r>
    </w:p>
    <w:p w14:paraId="66F02BC9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Wymagane jest zastosowanie medium transmisyjnego o maksymalnej średnicy zewnętrznej 7.4 mm. </w:t>
      </w:r>
    </w:p>
    <w:p w14:paraId="26CCAC17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Konfiguracja punktów logicznych PEL </w:t>
      </w:r>
    </w:p>
    <w:p w14:paraId="14F2C1AE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punktach logicznych projektowanych należy doprowadzić do 1 punktu Logicznego w zależności od konfiguracji odpowiednią ilość kabli typu U/UTP kat.6 w osłonie bezhalogenowej LSOH (średnica żyły 23/1 AWG) i klasie odporności na działanie ognia zgodnie z Euroklasą minimum Dca s2 d2 a1. Na złączu kablowym do kabli o średnicy żyły AWG22-24 należy umieścić wymienne gniazda modułowe kategorii 6 typu RJ45. </w:t>
      </w:r>
    </w:p>
    <w:p w14:paraId="3FFCE316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Możliwe konfiguracje: </w:t>
      </w:r>
    </w:p>
    <w:p w14:paraId="63A0A9A4" w14:textId="77777777" w:rsidR="00E767B8" w:rsidRPr="007156BA" w:rsidRDefault="00E767B8" w:rsidP="00E767B8">
      <w:pPr>
        <w:autoSpaceDE w:val="0"/>
        <w:autoSpaceDN w:val="0"/>
        <w:adjustRightInd w:val="0"/>
        <w:spacing w:after="25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1 x adapter Mosaic wyposażony w dwa moduły RJ45 kat. 6 </w:t>
      </w:r>
    </w:p>
    <w:p w14:paraId="2598F2F0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– 2 x adapter Mosaic wyposażony w dwa moduły RJ45 kat. 6 </w:t>
      </w:r>
    </w:p>
    <w:p w14:paraId="77ACAC6A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5F466F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Główny punkt dystrybucyjny GPD </w:t>
      </w:r>
    </w:p>
    <w:p w14:paraId="2C6CC296" w14:textId="2904668D" w:rsidR="00E767B8" w:rsidRPr="007156BA" w:rsidRDefault="00E767B8" w:rsidP="00E767B8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156BA">
        <w:rPr>
          <w:rFonts w:ascii="Times New Roman" w:eastAsiaTheme="minorHAnsi" w:hAnsi="Times New Roman" w:cs="Times New Roman"/>
          <w:color w:val="auto"/>
          <w:lang w:eastAsia="en-US"/>
        </w:rPr>
        <w:t>Jako główny punkt dystrybucyjny należy zastosować szafę RACK typu 12U. Z w/w szafy zostaną zasilone lokalne punkty logiczne PEL zlokalizowane w przedmiotowym obiekcie. W szafie dystrybucyjnej należy zainstalować elementy pasywne okablowania strukturalnego oraz urządzenia aktywne. Szafa ma posiadać stopień ochrony przynajmniej IP20 zgodnie z EN 60 529.</w:t>
      </w:r>
    </w:p>
    <w:p w14:paraId="374AA172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6701C1A" w14:textId="5D4047D1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OCHRONY PRZECIWPORAŻENIOWEJ </w:t>
      </w:r>
    </w:p>
    <w:p w14:paraId="15F2C320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Ochronę podstawową stanowić będzie izolacja robocza przewodów osprzętu i urządzeń elektrycznych. Jako system ochrony dodatkowej przyjęto (wg normy PN HD 60364) szybkie wyłączenie zasilania. Obwody odbiorcze zabezpieczono wyłącznikami instalacyjnymi nadmiarowo-prądowymi oraz wyłącznikami różnicowoprądowymi. Do przewodu ochronnego (PE) należy przyłączyć bolce gniazd wtykowych, oraz wszystkie części metalowe urządzeń, normalnie nieznajdujące się pod napięciem, a będące w zasięgu dotyku. Przewód ochronno-neutralny (PEN) uziemiony będzie w obudowie wyłącznika głównego „UW-PWP”. </w:t>
      </w:r>
    </w:p>
    <w:p w14:paraId="1D346683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lastRenderedPageBreak/>
        <w:t>Przewodzące rury CO, wodno-kanalizacyjne, dostępne metalowe części konstrukcji budynku oraz uziom instalacji odgromowej - oporność uziemienia R</w:t>
      </w:r>
      <w:r w:rsidRPr="007156BA">
        <w:rPr>
          <w:rFonts w:eastAsiaTheme="minorHAnsi"/>
          <w:lang w:eastAsia="en-US"/>
        </w:rPr>
        <w:t> 10</w:t>
      </w:r>
      <w:r w:rsidRPr="007156BA">
        <w:rPr>
          <w:rFonts w:eastAsiaTheme="minorHAnsi"/>
          <w:lang w:eastAsia="en-US"/>
        </w:rPr>
        <w:t xml:space="preserve"> - należy połączyć z szyną ekwipotencjalną, którą należy umieścić w pom. garażu. </w:t>
      </w:r>
    </w:p>
    <w:p w14:paraId="7E4D78CB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Stopień ochrony IP urządzeń elektrycznych należy dobierać w zależności od wpływów środowiskowych w miejscu zainstalowania urządzeń. </w:t>
      </w:r>
    </w:p>
    <w:p w14:paraId="7D1FEF57" w14:textId="77777777" w:rsidR="00E767B8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Instalację ochrony przeciwporażeniowej należy wykonać zgodnie z normą PN HD 60364. </w:t>
      </w:r>
    </w:p>
    <w:p w14:paraId="26E97E0B" w14:textId="77777777" w:rsidR="007156BA" w:rsidRPr="007156BA" w:rsidRDefault="007156BA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D2DD683" w14:textId="3D79C9A3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OCHRONY PRZEPIĘCIOWEJ </w:t>
      </w:r>
    </w:p>
    <w:p w14:paraId="6534DF74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Aby zabezpieczyć instalację elektryczną budynku przed przepięciami atmosferycznymi i łączeniowymi należy w rozdzielni R1 oraz R2 zainstalować ograniczniki przepięciowe klasy I o napięciowym poziomie ochrony Up≤4,0kV, (jako pierwszy stopień ochrony typu „B”) oraz ochronnik klasy II o napięciowym poziomie ochrony Up≤1,25kV, (jako drugi stopień ochrony typu „C”). </w:t>
      </w:r>
    </w:p>
    <w:p w14:paraId="386D5CA7" w14:textId="77777777" w:rsidR="00E767B8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Ochronniki winny być przystosowane do montaż obok siebie, zapewniając selektywności zadziałania poszczególnych stopni ochrony. </w:t>
      </w:r>
    </w:p>
    <w:p w14:paraId="06E73CF4" w14:textId="77777777" w:rsidR="007156BA" w:rsidRPr="007156BA" w:rsidRDefault="007156BA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68841A4" w14:textId="7400C7CA" w:rsidR="00E767B8" w:rsidRPr="007156BA" w:rsidRDefault="00E767B8" w:rsidP="00E767B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INSTALACJA ODGROMOWA </w:t>
      </w:r>
    </w:p>
    <w:p w14:paraId="10709ECD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W remontowanym obiekcie należy wykonać instalację odgromową, układając zwody poziome na dachu budynku drutem dFe/Zn ф8. Kominy zlokalizowany na dachu należy zabezpieczyć za masztów (iglic) odgromowych, które należy połączyć ze zwodami poziomymi. Przewody odprowadzające wykonać również drutem dFeZn ф8. Zwody poziome łączyć z przewodami odprowadzającymi za pomocą złączy uniwersalnych i krzyżowych. Dodatkowe zwody poziome połączyć ze zwodami głównymi za pomocą złączy uniwersalnych lub krzyżowych. Przewody odprowadzające prowadzić w rurkach ułożonych w projektowanym ociepleniu budynku o grubości ścianki nie mniejszej niż 5mm i sprowadzić do złącz kontrolnych zlokalizowanych w skrzynkach probierczych zlokalizowanych na wysokości od 0,3m do 1,8m nad podłożem. Jako przewód uziemiający zastosować taśmę stalową ocynkowaną Fe/Zn 30x4mm. </w:t>
      </w:r>
    </w:p>
    <w:p w14:paraId="4B88DCBD" w14:textId="77777777" w:rsidR="00E767B8" w:rsidRPr="007156BA" w:rsidRDefault="00E767B8" w:rsidP="00E767B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156BA">
        <w:rPr>
          <w:rFonts w:eastAsiaTheme="minorHAnsi"/>
          <w:lang w:eastAsia="en-US"/>
        </w:rPr>
        <w:t xml:space="preserve">Uziom projektuje się jako otokowy, wykonany z taśmy stalowej ocynkowanej Fe/Zn 30x4mm ułożonej na głębokości 0,6m ( przed wejściami do obiektu na głębokości 1,5m ) i w odległości nie mniejszej niż 1m od budynku. Połączenia naziemne instalacji odgromowej wykonać przy pomocy połączeń śrubowych, a w części podziemnej przez spawanie. </w:t>
      </w:r>
    </w:p>
    <w:p w14:paraId="0CED5933" w14:textId="5C891653" w:rsidR="00E767B8" w:rsidRPr="007156BA" w:rsidRDefault="00E767B8" w:rsidP="00E767B8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156BA">
        <w:rPr>
          <w:rFonts w:ascii="Times New Roman" w:eastAsiaTheme="minorHAnsi" w:hAnsi="Times New Roman" w:cs="Times New Roman"/>
          <w:color w:val="auto"/>
          <w:lang w:eastAsia="en-US"/>
        </w:rPr>
        <w:t>Wszelkie połączenia w projektowanej instalacji należy pokryć smarem antykorozyjnym. Instalację odgromową należy wykonać zgodnie z PN-EN 62305.</w:t>
      </w:r>
    </w:p>
    <w:p w14:paraId="3D9F5BE6" w14:textId="77777777" w:rsidR="00E767B8" w:rsidRPr="00781A48" w:rsidRDefault="00E767B8" w:rsidP="00E767B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38E2DA3" w14:textId="5A4AD380" w:rsidR="00D55D42" w:rsidRDefault="005E10B4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-</w:t>
      </w:r>
      <w:r w:rsidR="00D55D42" w:rsidRPr="00781A48">
        <w:rPr>
          <w:rFonts w:ascii="Times New Roman" w:hAnsi="Times New Roman" w:cs="Times New Roman"/>
          <w:b/>
          <w:bCs/>
        </w:rPr>
        <w:t xml:space="preserve"> wentylacji mechanicznej</w:t>
      </w:r>
      <w:r w:rsidR="00A16E32">
        <w:rPr>
          <w:rFonts w:ascii="Times New Roman" w:hAnsi="Times New Roman" w:cs="Times New Roman"/>
        </w:rPr>
        <w:t xml:space="preserve"> – centrala wentylacyjna nawiewna</w:t>
      </w:r>
      <w:r w:rsidR="00D55D42">
        <w:rPr>
          <w:rFonts w:ascii="Times New Roman" w:hAnsi="Times New Roman" w:cs="Times New Roman"/>
        </w:rPr>
        <w:t>,</w:t>
      </w:r>
      <w:r w:rsidR="00A16E32">
        <w:rPr>
          <w:rFonts w:ascii="Times New Roman" w:hAnsi="Times New Roman" w:cs="Times New Roman"/>
        </w:rPr>
        <w:t xml:space="preserve"> dwie centrale  wywiewne</w:t>
      </w:r>
    </w:p>
    <w:p w14:paraId="2430FEF6" w14:textId="7777777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wraz z systemami dodatkowymi: </w:t>
      </w:r>
    </w:p>
    <w:p w14:paraId="06B1DEF0" w14:textId="6BC03CCE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N1–system nawiewny–parter-świetlica</w:t>
      </w:r>
    </w:p>
    <w:p w14:paraId="70C2602C" w14:textId="43C15981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N2 –system nawiewny–parter-sklep</w:t>
      </w:r>
    </w:p>
    <w:p w14:paraId="6BF060A8" w14:textId="17162C36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N3–system nawiewny –piętro -świetlica</w:t>
      </w:r>
    </w:p>
    <w:p w14:paraId="7FB903CA" w14:textId="59B34041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W1 –system wywiewny–parter–świetlica</w:t>
      </w:r>
    </w:p>
    <w:p w14:paraId="77D358D6" w14:textId="50CB8E09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W2–system wywiewny –parter–sklep</w:t>
      </w:r>
    </w:p>
    <w:p w14:paraId="0203FEB6" w14:textId="366DF215" w:rsidR="007C15C2" w:rsidRPr="007C15C2" w:rsidRDefault="007C15C2" w:rsidP="007C15C2">
      <w:pPr>
        <w:autoSpaceDE w:val="0"/>
        <w:autoSpaceDN w:val="0"/>
        <w:adjustRightInd w:val="0"/>
        <w:spacing w:after="47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W3–system wywiewny –piętro-świetlica</w:t>
      </w:r>
    </w:p>
    <w:p w14:paraId="6E4F2E0F" w14:textId="03A0B377" w:rsidR="007C15C2" w:rsidRPr="007C15C2" w:rsidRDefault="007C15C2" w:rsidP="007C15C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7C15C2">
        <w:rPr>
          <w:rFonts w:eastAsiaTheme="minorHAnsi"/>
          <w:color w:val="000000"/>
          <w:sz w:val="23"/>
          <w:szCs w:val="23"/>
          <w:lang w:eastAsia="en-US"/>
        </w:rPr>
        <w:t xml:space="preserve"> System WC1, WC2–wywiew z pomieszczeń sanitarnych</w:t>
      </w:r>
      <w:r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79201D7E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6079B6E8" w14:textId="77777777" w:rsidR="00D55D42" w:rsidRPr="00781A48" w:rsidRDefault="00D55D42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3) przebudowę sanitariatów na kondygnacji parteru wraz z przebudową ścian działowych,</w:t>
      </w:r>
    </w:p>
    <w:p w14:paraId="386AC350" w14:textId="77777777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lastRenderedPageBreak/>
        <w:t>4) wymianę stolarki okiennej (PCV) i drzwiowej</w:t>
      </w:r>
      <w:r>
        <w:rPr>
          <w:rFonts w:ascii="Times New Roman" w:hAnsi="Times New Roman" w:cs="Times New Roman"/>
        </w:rPr>
        <w:t xml:space="preserve"> (drzwi zewnętrzne aluminiowe i stalowe),</w:t>
      </w:r>
    </w:p>
    <w:p w14:paraId="031CEEEE" w14:textId="0EFA68FC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Zaprojektowano</w:t>
      </w:r>
      <w:r w:rsidRPr="000A6590">
        <w:rPr>
          <w:rFonts w:eastAsiaTheme="minorHAnsi"/>
          <w:color w:val="000000"/>
          <w:lang w:eastAsia="en-US"/>
        </w:rPr>
        <w:t xml:space="preserve"> wymianę istniejących okien z profili PCV na nowe okna z trzykomorowego systemu profili PCV z dwukomorowym pakietem szybowym – kolor antracyt. Współczynnik przenikania ciepła dla całej konstrukcji Ud &lt; 0,9 W/mK </w:t>
      </w:r>
    </w:p>
    <w:p w14:paraId="0806D7F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Stolarka drzwiowa: </w:t>
      </w:r>
    </w:p>
    <w:p w14:paraId="49C01180" w14:textId="65329333" w:rsidR="000A6590" w:rsidRP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Zaprojektowano</w:t>
      </w:r>
      <w:r w:rsidRPr="000A6590">
        <w:rPr>
          <w:rFonts w:ascii="Times New Roman" w:eastAsiaTheme="minorHAnsi" w:hAnsi="Times New Roman" w:cs="Times New Roman"/>
          <w:lang w:eastAsia="en-US"/>
        </w:rPr>
        <w:t xml:space="preserve"> wymianę istniejących drzwi metalowych na drzwi zewnętrzne aluminiowe z trzyko-morowym profilem, szkło zespolone dwukomorowe spełniające wymagania. Współczynnik przeni-kania ciepła dla całej konstrukcji Ud &lt; 1,3 W/mK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252B7ACB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2D3B684" w14:textId="6018741E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 xml:space="preserve">5) wymianę wszystkich posadzek </w:t>
      </w:r>
      <w:r>
        <w:rPr>
          <w:rFonts w:ascii="Times New Roman" w:hAnsi="Times New Roman" w:cs="Times New Roman"/>
        </w:rPr>
        <w:t>wraz z obniżeniem poziomu podłogi w celu wyrównania poziomu pomieszczeń. Posadzki z płytek gresowych antypoślizgowych.</w:t>
      </w:r>
    </w:p>
    <w:p w14:paraId="2EED451D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3F0DD9B8" w14:textId="101273B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6) wykończenie ścian i sufitów</w:t>
      </w:r>
      <w:r>
        <w:rPr>
          <w:rFonts w:ascii="Times New Roman" w:hAnsi="Times New Roman" w:cs="Times New Roman"/>
        </w:rPr>
        <w:t xml:space="preserve"> – renowacja tynków w miejscach spękań i ubytków, malowanie ścian farbami akrylowymi  oraz lateksowymi i sufitów ( akrylowymi), okładziny ceramiczne ścian</w:t>
      </w:r>
      <w:r w:rsidR="000A6590">
        <w:rPr>
          <w:rFonts w:ascii="Times New Roman" w:hAnsi="Times New Roman" w:cs="Times New Roman"/>
        </w:rPr>
        <w:t>.</w:t>
      </w:r>
    </w:p>
    <w:p w14:paraId="223F501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ZESTAWIENIE WYKOŃCZENIA POMIESZCZEŃ </w:t>
      </w:r>
    </w:p>
    <w:p w14:paraId="71F1834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0.1, 0,2, 0.3, 1.1 – komunikacja </w:t>
      </w:r>
    </w:p>
    <w:p w14:paraId="59457E8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gresowe – gres szkliwiony matowy w kolorze szarym, klasa antypoślizgowości min. R9 o wymiarach 300 × 300 mm. Płytki kłaść na kleju elastycznym (klej elastyczny z trasem), fuga wo-doszczelna i chemoodporna stosowana do pomieszczeń silnie narażonych na działanie środków czy-stości (kolor dopasowany do koloru płytek), cokolik na wysokość 10 cm w kolorze zastosowanych płytek podłogowych. </w:t>
      </w:r>
    </w:p>
    <w:p w14:paraId="5A14BF9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cem.-wap. kat. III gr. 1,5 cm w kolorze RAL 1013, do wysokości 1,1 m farba zmywalna w kolorze beżowym RAL 1001 </w:t>
      </w:r>
    </w:p>
    <w:p w14:paraId="6905D71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2018ACA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0.4 – pomieszczenie gospodarcze </w:t>
      </w:r>
    </w:p>
    <w:p w14:paraId="6DA33CDB" w14:textId="7D897CE4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gresowe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2A628962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cem.-wap. kat. III gr. 1,5 cm w kolorze białym </w:t>
      </w:r>
    </w:p>
    <w:p w14:paraId="213D36C4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446ABF9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0.5, 1.3 – pracownia komputerowa </w:t>
      </w:r>
    </w:p>
    <w:p w14:paraId="4E44DB25" w14:textId="1E892979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gresowe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42980BBC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cem.-wap. kat. III gr. 1,5 cm w kolorze RAL 1013, do wysokości 1,1 m farba zmywalna w kolorze beżowym RAL 1001 </w:t>
      </w:r>
    </w:p>
    <w:p w14:paraId="5E06F759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4C4BF92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0.6, 0.7, 0.9 – sanitariaty </w:t>
      </w:r>
    </w:p>
    <w:p w14:paraId="19A3507A" w14:textId="5C668BAF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gresowe – gres szkliwiony matowy w kolorze szarym, klasa antypoślizgowości min. R9 o wymiarach 300 × 300 mm,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295307FA" w14:textId="3F5ECED9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lastRenderedPageBreak/>
        <w:t xml:space="preserve">Ściany – płytki gresowe nieszkliwione w kolorze jasnoszarym o wymiarach 300 × 300 mm (płytki wyłożyć do wysokości sufitu. Płytki kłaść na kleju elastycznym z triasem, zastosować fugi o szerokości 1 mm fugować fugą wodoszczelną i chemoodporną stosowaną do pomieszczeń silnie narażonych na działanie środków czystości (kolor dopasowany do koloru płytek). </w:t>
      </w:r>
    </w:p>
    <w:p w14:paraId="7165C96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tynkowa cem.-wap. kat. III gr. 1,5 cm w kolorze białym </w:t>
      </w:r>
    </w:p>
    <w:p w14:paraId="68EB539F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0.8 – magazyn </w:t>
      </w:r>
    </w:p>
    <w:p w14:paraId="26F3DC6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wylewka betonowa zbrojona </w:t>
      </w:r>
    </w:p>
    <w:p w14:paraId="745ADC2A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Ściany – wyprawa tynkowa cem.-wap. kat. III gr. 1,5 cm w kolorze białym </w:t>
      </w:r>
    </w:p>
    <w:p w14:paraId="5CBD306A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Sufit – kolor biały </w:t>
      </w:r>
    </w:p>
    <w:p w14:paraId="60F747C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0.10 – pomieszczenie sklepowe </w:t>
      </w:r>
    </w:p>
    <w:p w14:paraId="17511FF6" w14:textId="77777777" w:rsid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Posadzka – płytki gresowe – gres szkliwiony matowy w kolorze szarym, klasa antypoślizgowości min. R9 o wymiarach 300 × 300 mm.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468B3B8F" w14:textId="51752D21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Ściany – wyprawa tynkowa cem.-wap. kat. III gr. 1,5 cm w kolorze RAL 1013, do wysokości 1,1 m farba zmywalna w kolorze beżowym RAL 1001 </w:t>
      </w:r>
    </w:p>
    <w:p w14:paraId="6678C6E5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Przy umywalce oraz zlewozmywaku należy wykonać fartuch z płytek gresowych szkliwionych w kolorze jasnoszarym o wymiarach 300 × 300 mm (płytki wyłożyć do wysokości sufitu oraz do 0,6 m od przyboru. Płytki kłaść na kleju elastycznym z triasem, zastosować fugi o szerokości 1 mm fugować fugą wodoszczelną i chemoodporną stosowaną do pomieszczeń silnie narażonych na działanie środ-ków czystości (kolor dopasowany do koloru płytek). </w:t>
      </w:r>
    </w:p>
    <w:p w14:paraId="4273394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Sufit – kolor biały </w:t>
      </w:r>
    </w:p>
    <w:p w14:paraId="596821F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b/>
          <w:bCs/>
          <w:lang w:eastAsia="en-US"/>
        </w:rPr>
        <w:t xml:space="preserve">1.2 – aneks </w:t>
      </w:r>
    </w:p>
    <w:p w14:paraId="0AEBF925" w14:textId="6F93E634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Posadzka – płytki gresowe – gres szkliwiony matowy w kolorze szarym, klasa antypoślizgowości min. R9 o wymiarach 300 × 300 mm, płytki kłaść na kleju elastycznym (klej elastyczny z trasem), fuga wodoszczelna i chemoodporna stosowana do pomieszczeń silnie narażonych na działanie środków czystości (kolor dopasowany do koloru płytek), cokolik na wysokość 10 cm w kolorze zastosowanych płytek podłogowych. </w:t>
      </w:r>
    </w:p>
    <w:p w14:paraId="19C1AFF3" w14:textId="17F3440A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Ściany – wyprawa tynkowa cem.-wap. kat. III gr. 1,5 cm w kolorze RAL 1013, płytki gresowe szkliwione w kolorze jasnoszarym o wymiarach 300 × 300 mm (płytki wyłożyć do wysokości nadproży (ok. 2,35 m). Płytki kłaść na kleju elastycznym z triasem, zastosować fugi o szerokości 1 mm fugować fugą wodoszczelną i chemoodporną stosowaną do pomieszczeń silnie narażonych na działanie środków czystości (kolor dopasowany do koloru płytek). </w:t>
      </w:r>
    </w:p>
    <w:p w14:paraId="3687B6E6" w14:textId="1E43D319" w:rsid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6590">
        <w:rPr>
          <w:rFonts w:eastAsiaTheme="minorHAnsi"/>
          <w:lang w:eastAsia="en-US"/>
        </w:rPr>
        <w:t xml:space="preserve">Sufit – tynkowa cem.-wap. kat. III gr. 1,5 cm w kolorze białym </w:t>
      </w:r>
      <w:r>
        <w:rPr>
          <w:rFonts w:eastAsiaTheme="minorHAnsi"/>
          <w:lang w:eastAsia="en-US"/>
        </w:rPr>
        <w:t>.</w:t>
      </w:r>
    </w:p>
    <w:p w14:paraId="23E43690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6633C0" w14:textId="6475D90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7) wymianę zadaszeń nad wejściami do budynku</w:t>
      </w:r>
      <w:r>
        <w:rPr>
          <w:rFonts w:ascii="Times New Roman" w:hAnsi="Times New Roman" w:cs="Times New Roman"/>
        </w:rPr>
        <w:t xml:space="preserve"> ( z eternitu na blachę stalową ocynkowaną, powlekaną),</w:t>
      </w:r>
    </w:p>
    <w:p w14:paraId="79CF5067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33A3D7DE" w14:textId="621C954C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8) wymianę więźby dachowej wraz z wymianą pokrycia połaci dachowej</w:t>
      </w:r>
      <w:r>
        <w:rPr>
          <w:rFonts w:ascii="Times New Roman" w:hAnsi="Times New Roman" w:cs="Times New Roman"/>
        </w:rPr>
        <w:t xml:space="preserve"> (z eternitu na blachę stalową ocynkowaną, powlekaną</w:t>
      </w:r>
      <w:r w:rsidR="000A6590" w:rsidRPr="000A6590">
        <w:rPr>
          <w:sz w:val="22"/>
          <w:szCs w:val="22"/>
        </w:rPr>
        <w:t xml:space="preserve"> </w:t>
      </w:r>
      <w:r w:rsidR="000A6590" w:rsidRPr="000A6590">
        <w:rPr>
          <w:rFonts w:ascii="Times New Roman" w:hAnsi="Times New Roman" w:cs="Times New Roman"/>
        </w:rPr>
        <w:t>grubości 0,6 mm</w:t>
      </w:r>
      <w:r>
        <w:rPr>
          <w:rFonts w:ascii="Times New Roman" w:hAnsi="Times New Roman" w:cs="Times New Roman"/>
        </w:rPr>
        <w:t xml:space="preserve">) i ociepleniem stropu nad piętrem wełną mineralną grub. 30 cm. </w:t>
      </w:r>
    </w:p>
    <w:p w14:paraId="0C8142B1" w14:textId="77777777" w:rsidR="00781A48" w:rsidRDefault="00781A48" w:rsidP="000A6590">
      <w:pPr>
        <w:pStyle w:val="Default"/>
        <w:jc w:val="both"/>
        <w:rPr>
          <w:rFonts w:ascii="Times New Roman" w:hAnsi="Times New Roman" w:cs="Times New Roman"/>
        </w:rPr>
      </w:pPr>
    </w:p>
    <w:p w14:paraId="4B04629D" w14:textId="77777777" w:rsidR="00D55D42" w:rsidRPr="00781A48" w:rsidRDefault="00D55D42" w:rsidP="000A659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81A48">
        <w:rPr>
          <w:rFonts w:ascii="Times New Roman" w:hAnsi="Times New Roman" w:cs="Times New Roman"/>
          <w:b/>
          <w:bCs/>
        </w:rPr>
        <w:t>9) wymianę balustrad i poręczy przy schodach zewnętrznych i wewnętrznych.</w:t>
      </w:r>
    </w:p>
    <w:p w14:paraId="07C7C05D" w14:textId="3E922DB3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 w:rsidRPr="00781A48">
        <w:rPr>
          <w:rFonts w:ascii="Times New Roman" w:hAnsi="Times New Roman" w:cs="Times New Roman"/>
          <w:b/>
          <w:bCs/>
        </w:rPr>
        <w:t>10) budowa podjazdu dla niepełnosprawnych</w:t>
      </w:r>
      <w:r>
        <w:rPr>
          <w:rFonts w:ascii="Times New Roman" w:hAnsi="Times New Roman" w:cs="Times New Roman"/>
        </w:rPr>
        <w:t xml:space="preserve"> przy budynku </w:t>
      </w:r>
      <w:r w:rsidR="00647A5D">
        <w:rPr>
          <w:rFonts w:ascii="Times New Roman" w:hAnsi="Times New Roman" w:cs="Times New Roman"/>
        </w:rPr>
        <w:t xml:space="preserve">z kostki brukowej 8 cm </w:t>
      </w:r>
      <w:r>
        <w:rPr>
          <w:rFonts w:ascii="Times New Roman" w:hAnsi="Times New Roman" w:cs="Times New Roman"/>
        </w:rPr>
        <w:t>( wyburzenie schodów zewnętrznych, budowa pochylni umożliwiających wejście do budynku, montaż stopni blokowych.</w:t>
      </w:r>
    </w:p>
    <w:p w14:paraId="326C5122" w14:textId="2BB83701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lastRenderedPageBreak/>
        <w:t xml:space="preserve">Zaprojektowano remont przedmiotowego budynku w zakresie przystosowania do współcześnie obowiązujących norm i wymagań technicznych. </w:t>
      </w:r>
    </w:p>
    <w:p w14:paraId="0071669D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Projektowane roboty budowlane obejmują: </w:t>
      </w:r>
    </w:p>
    <w:p w14:paraId="197A3FAC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wyburzenie istniejących schodów zewnętrznych przy wejściu głównym do budynku oraz przy wejściu do części usługowej od strony południowo wschodniej, </w:t>
      </w:r>
    </w:p>
    <w:p w14:paraId="01E96A87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budowa pochylni umożliwiających wejście do budynku zarówno do części świetlicy wiejskiej jak i do sklepu spożywczego osobom poruszającym się na wózkach inwalidzkich oraz schodów żelbetowych, </w:t>
      </w:r>
    </w:p>
    <w:p w14:paraId="72A86F21" w14:textId="77777777" w:rsidR="000A6590" w:rsidRPr="000A6590" w:rsidRDefault="000A6590" w:rsidP="000A659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montaż blokowych stopni terenowych, </w:t>
      </w:r>
    </w:p>
    <w:p w14:paraId="04A7C05B" w14:textId="42BC4262" w:rsidR="000A6590" w:rsidRP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 w:rsidRPr="000A6590">
        <w:rPr>
          <w:rFonts w:ascii="Times New Roman" w:eastAsiaTheme="minorHAnsi" w:hAnsi="Times New Roman" w:cs="Times New Roman"/>
          <w:lang w:eastAsia="en-US"/>
        </w:rPr>
        <w:t>– montaż barierek i balustrad ochronnych.</w:t>
      </w:r>
    </w:p>
    <w:p w14:paraId="1CFAB6CC" w14:textId="6D38E14F" w:rsidR="000A6590" w:rsidRDefault="000A6590" w:rsidP="000A6590">
      <w:pPr>
        <w:pStyle w:val="Default"/>
        <w:jc w:val="both"/>
        <w:rPr>
          <w:rFonts w:ascii="Times New Roman" w:hAnsi="Times New Roman" w:cs="Times New Roman"/>
        </w:rPr>
      </w:pPr>
      <w:r w:rsidRPr="000A6590">
        <w:rPr>
          <w:rFonts w:ascii="Times New Roman" w:hAnsi="Times New Roman" w:cs="Times New Roman"/>
        </w:rPr>
        <w:t>Pochylnia dla osób niepełnosprawnych o utwardzonej nawierzchni. Projektuje się odcięcie nawierzchni z betonowej kostki brukowej obrzeżem betonowym a w miejscach występujących dużych różnic poziomu terenu zastosowanie murów oporowych. Przekroje projektowanej pochylni i rozwiązania techniczne pokazano na rys. A-02/ 04. Nawierzchnię utwardzeń zaprojektowano z betonowej kostki brukowej o gr. 8 cm.</w:t>
      </w:r>
    </w:p>
    <w:p w14:paraId="530D0ED4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Konstrukcja nawierzchni utwardzonych: </w:t>
      </w:r>
    </w:p>
    <w:p w14:paraId="36FEABB7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ścieralna z kostki brukowej 8 cm </w:t>
      </w:r>
    </w:p>
    <w:p w14:paraId="630E5702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wiążąca z podsypki cementowo piaskowej 5 cm </w:t>
      </w:r>
    </w:p>
    <w:p w14:paraId="382CC52A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Podbudowa zasadnicza – kruszywo łamane 0/31,5 mm 25 cm </w:t>
      </w:r>
    </w:p>
    <w:p w14:paraId="2894A324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– Warstwa mrozoochronna – kruszywo łamane 31,5/63 mm 35 cm </w:t>
      </w:r>
    </w:p>
    <w:p w14:paraId="69436F79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b/>
          <w:bCs/>
          <w:color w:val="000000"/>
          <w:lang w:eastAsia="en-US"/>
        </w:rPr>
        <w:t xml:space="preserve">Razem: 71 cm </w:t>
      </w:r>
    </w:p>
    <w:p w14:paraId="5B18552A" w14:textId="77777777" w:rsidR="000A6590" w:rsidRPr="000A6590" w:rsidRDefault="000A6590" w:rsidP="000A65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A6590">
        <w:rPr>
          <w:rFonts w:eastAsiaTheme="minorHAnsi"/>
          <w:color w:val="000000"/>
          <w:lang w:eastAsia="en-US"/>
        </w:rPr>
        <w:t xml:space="preserve">Konstrukcja obrzeża: </w:t>
      </w:r>
    </w:p>
    <w:p w14:paraId="3D102CAB" w14:textId="4F880ECA" w:rsidR="000A6590" w:rsidRPr="00781A48" w:rsidRDefault="000A6590" w:rsidP="000A6590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781A48">
        <w:rPr>
          <w:rFonts w:ascii="Times New Roman" w:eastAsiaTheme="minorHAnsi" w:hAnsi="Times New Roman" w:cs="Times New Roman"/>
          <w:lang w:eastAsia="en-US"/>
        </w:rPr>
        <w:t>– Obrzeże betonowe 8 × 30 × 100 cm</w:t>
      </w:r>
    </w:p>
    <w:p w14:paraId="705BDF1C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color w:val="000000"/>
          <w:lang w:eastAsia="en-US"/>
        </w:rPr>
        <w:t xml:space="preserve">– Podsypka cementowo-piaskowa 3 cm </w:t>
      </w:r>
    </w:p>
    <w:p w14:paraId="0F8B269E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color w:val="000000"/>
          <w:lang w:eastAsia="en-US"/>
        </w:rPr>
        <w:t xml:space="preserve">– Ława z betonu klasy C12/15 (B15) 10 cm </w:t>
      </w:r>
    </w:p>
    <w:p w14:paraId="68552F2C" w14:textId="77777777" w:rsidR="00781A48" w:rsidRPr="00781A48" w:rsidRDefault="00781A48" w:rsidP="00781A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81A48">
        <w:rPr>
          <w:rFonts w:eastAsiaTheme="minorHAnsi"/>
          <w:b/>
          <w:bCs/>
          <w:color w:val="000000"/>
          <w:lang w:eastAsia="en-US"/>
        </w:rPr>
        <w:t xml:space="preserve">Razem: 43 cm </w:t>
      </w:r>
    </w:p>
    <w:p w14:paraId="50B60C80" w14:textId="26FF9888" w:rsidR="000A6590" w:rsidRPr="00781A48" w:rsidRDefault="00781A48" w:rsidP="00781A48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781A48">
        <w:rPr>
          <w:rFonts w:ascii="Times New Roman" w:eastAsiaTheme="minorHAnsi" w:hAnsi="Times New Roman" w:cs="Times New Roman"/>
          <w:lang w:eastAsia="en-US"/>
        </w:rPr>
        <w:t>Dla grupy nośności podłoża G3 wymagana grubość konstrukcji utwardzeń ze względu na odporność na przemarzanie wynosi ≥ 0,5*hz.</w:t>
      </w:r>
    </w:p>
    <w:p w14:paraId="02B51D6D" w14:textId="77777777" w:rsidR="00781A48" w:rsidRPr="000A6590" w:rsidRDefault="00781A48" w:rsidP="00781A48">
      <w:pPr>
        <w:pStyle w:val="Default"/>
        <w:jc w:val="both"/>
        <w:rPr>
          <w:rFonts w:ascii="Times New Roman" w:hAnsi="Times New Roman" w:cs="Times New Roman"/>
        </w:rPr>
      </w:pPr>
    </w:p>
    <w:p w14:paraId="0247F64F" w14:textId="440B5EA3" w:rsidR="00D55D42" w:rsidRPr="00A22B5C" w:rsidRDefault="00D55D42" w:rsidP="000A659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11) </w:t>
      </w:r>
      <w:r w:rsidRPr="00A22B5C">
        <w:rPr>
          <w:rFonts w:ascii="Times New Roman" w:hAnsi="Times New Roman" w:cs="Times New Roman"/>
          <w:b/>
          <w:bCs/>
        </w:rPr>
        <w:t xml:space="preserve">wykonanie i zamocowanie tablicy informacyjno – promocyjnej </w:t>
      </w:r>
      <w:r w:rsidRPr="003B1210">
        <w:rPr>
          <w:rFonts w:ascii="Times New Roman" w:hAnsi="Times New Roman" w:cs="Times New Roman"/>
        </w:rPr>
        <w:t>zgodnej przepisami</w:t>
      </w:r>
      <w:r>
        <w:rPr>
          <w:rFonts w:ascii="Times New Roman" w:hAnsi="Times New Roman" w:cs="Times New Roman"/>
          <w:b/>
          <w:bCs/>
        </w:rPr>
        <w:t xml:space="preserve"> K</w:t>
      </w:r>
      <w:r w:rsidRPr="00A22B5C">
        <w:rPr>
          <w:rFonts w:ascii="Times New Roman" w:hAnsi="Times New Roman" w:cs="Times New Roman"/>
          <w:b/>
          <w:bCs/>
        </w:rPr>
        <w:t>sięg</w:t>
      </w:r>
      <w:r>
        <w:rPr>
          <w:rFonts w:ascii="Times New Roman" w:hAnsi="Times New Roman" w:cs="Times New Roman"/>
          <w:b/>
          <w:bCs/>
        </w:rPr>
        <w:t>i</w:t>
      </w:r>
      <w:r w:rsidRPr="00A22B5C">
        <w:rPr>
          <w:rFonts w:ascii="Times New Roman" w:hAnsi="Times New Roman" w:cs="Times New Roman"/>
          <w:b/>
          <w:bCs/>
        </w:rPr>
        <w:t xml:space="preserve"> wizualizacji znaku PROW </w:t>
      </w:r>
      <w:r>
        <w:rPr>
          <w:rFonts w:ascii="Times New Roman" w:hAnsi="Times New Roman" w:cs="Times New Roman"/>
          <w:b/>
          <w:bCs/>
        </w:rPr>
        <w:t xml:space="preserve">na lata </w:t>
      </w:r>
      <w:r w:rsidRPr="00A22B5C">
        <w:rPr>
          <w:rFonts w:ascii="Times New Roman" w:hAnsi="Times New Roman" w:cs="Times New Roman"/>
          <w:b/>
          <w:bCs/>
        </w:rPr>
        <w:t>2014-2020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B5C">
        <w:rPr>
          <w:rFonts w:ascii="Times New Roman" w:hAnsi="Times New Roman" w:cs="Times New Roman"/>
        </w:rPr>
        <w:t>( brak pozycji w przedmiarach robót, należy dopisać pozycj</w:t>
      </w:r>
      <w:r>
        <w:rPr>
          <w:rFonts w:ascii="Times New Roman" w:hAnsi="Times New Roman" w:cs="Times New Roman"/>
        </w:rPr>
        <w:t>ę</w:t>
      </w:r>
      <w:r w:rsidRPr="00A22B5C">
        <w:rPr>
          <w:rFonts w:ascii="Times New Roman" w:hAnsi="Times New Roman" w:cs="Times New Roman"/>
        </w:rPr>
        <w:t xml:space="preserve"> jako kalkulacja własna) </w:t>
      </w:r>
    </w:p>
    <w:p w14:paraId="1DC0DCF0" w14:textId="77777777" w:rsidR="00D55D42" w:rsidRDefault="00D55D42" w:rsidP="000A6590">
      <w:pPr>
        <w:pStyle w:val="Default"/>
        <w:jc w:val="both"/>
        <w:rPr>
          <w:rFonts w:ascii="Times New Roman" w:hAnsi="Times New Roman" w:cs="Times New Roman"/>
        </w:rPr>
      </w:pPr>
    </w:p>
    <w:p w14:paraId="0AE8AB6D" w14:textId="77777777" w:rsidR="00D55D42" w:rsidRPr="00D55D42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55D42">
        <w:rPr>
          <w:rFonts w:ascii="Times New Roman" w:hAnsi="Times New Roman" w:cs="Times New Roman"/>
          <w:b/>
          <w:bCs/>
        </w:rPr>
        <w:t xml:space="preserve">UWAGA: </w:t>
      </w:r>
    </w:p>
    <w:p w14:paraId="1B051C9D" w14:textId="77777777" w:rsidR="00D55D42" w:rsidRPr="00D55D42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55D42">
        <w:rPr>
          <w:rFonts w:ascii="Times New Roman" w:hAnsi="Times New Roman" w:cs="Times New Roman"/>
          <w:b/>
          <w:bCs/>
        </w:rPr>
        <w:t>Przedmiot zamówienia nie obejmuje wykonania zewnętrznego przyłącza gazu.</w:t>
      </w:r>
    </w:p>
    <w:p w14:paraId="2E27665D" w14:textId="77777777" w:rsidR="00D55D42" w:rsidRDefault="00D55D42" w:rsidP="00D55D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55D42">
        <w:rPr>
          <w:rFonts w:ascii="Times New Roman" w:hAnsi="Times New Roman" w:cs="Times New Roman"/>
          <w:b/>
          <w:bCs/>
        </w:rPr>
        <w:t>Zamawiający oczekuje na wydanie decyzji pozwolenia na budowę zewnętrznego przyłącza gazu do budynku świetlicy w Łagiewnikach. Wykonanie przyłącza gazu będzie przedmiotem odrębnego postępowania.</w:t>
      </w:r>
    </w:p>
    <w:p w14:paraId="3C71E51A" w14:textId="3E34A5DC" w:rsidR="00E32895" w:rsidRPr="001B7D47" w:rsidRDefault="00E32895" w:rsidP="00D55D42">
      <w:pPr>
        <w:pStyle w:val="Default"/>
        <w:spacing w:line="276" w:lineRule="auto"/>
        <w:jc w:val="both"/>
        <w:rPr>
          <w:rFonts w:eastAsiaTheme="minorHAnsi"/>
          <w:lang w:eastAsia="en-US"/>
        </w:rPr>
      </w:pPr>
    </w:p>
    <w:sectPr w:rsidR="00E32895" w:rsidRPr="001B7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72AB" w14:textId="77777777" w:rsidR="006D7E47" w:rsidRDefault="006D7E47" w:rsidP="00B921B1">
      <w:r>
        <w:separator/>
      </w:r>
    </w:p>
  </w:endnote>
  <w:endnote w:type="continuationSeparator" w:id="0">
    <w:p w14:paraId="74091464" w14:textId="77777777" w:rsidR="006D7E47" w:rsidRDefault="006D7E47" w:rsidP="00B9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6173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2B9147" w14:textId="49B3A10C" w:rsidR="007079C3" w:rsidRPr="00636BF4" w:rsidRDefault="007079C3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636BF4">
          <w:rPr>
            <w:rFonts w:eastAsiaTheme="majorEastAsia"/>
            <w:sz w:val="16"/>
            <w:szCs w:val="16"/>
          </w:rPr>
          <w:t xml:space="preserve">str. </w:t>
        </w:r>
        <w:r w:rsidRPr="00636BF4">
          <w:rPr>
            <w:rFonts w:eastAsiaTheme="minorEastAsia"/>
            <w:sz w:val="16"/>
            <w:szCs w:val="16"/>
          </w:rPr>
          <w:fldChar w:fldCharType="begin"/>
        </w:r>
        <w:r w:rsidRPr="00636BF4">
          <w:rPr>
            <w:sz w:val="16"/>
            <w:szCs w:val="16"/>
          </w:rPr>
          <w:instrText>PAGE    \* MERGEFORMAT</w:instrText>
        </w:r>
        <w:r w:rsidRPr="00636BF4">
          <w:rPr>
            <w:rFonts w:eastAsiaTheme="minorEastAsia"/>
            <w:sz w:val="16"/>
            <w:szCs w:val="16"/>
          </w:rPr>
          <w:fldChar w:fldCharType="separate"/>
        </w:r>
        <w:r w:rsidRPr="00636BF4">
          <w:rPr>
            <w:rFonts w:eastAsiaTheme="majorEastAsia"/>
            <w:sz w:val="16"/>
            <w:szCs w:val="16"/>
          </w:rPr>
          <w:t>2</w:t>
        </w:r>
        <w:r w:rsidRPr="00636BF4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BEC183F" w14:textId="77777777" w:rsidR="007079C3" w:rsidRDefault="00707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B451" w14:textId="77777777" w:rsidR="006D7E47" w:rsidRDefault="006D7E47" w:rsidP="00B921B1">
      <w:r>
        <w:separator/>
      </w:r>
    </w:p>
  </w:footnote>
  <w:footnote w:type="continuationSeparator" w:id="0">
    <w:p w14:paraId="6E5A2056" w14:textId="77777777" w:rsidR="006D7E47" w:rsidRDefault="006D7E47" w:rsidP="00B9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10B0" w14:textId="630728AA" w:rsidR="00B921B1" w:rsidRDefault="00F444C5">
    <w:pPr>
      <w:pStyle w:val="Nagwek"/>
    </w:pPr>
    <w:r w:rsidRPr="00405741">
      <w:rPr>
        <w:noProof/>
      </w:rPr>
      <w:drawing>
        <wp:inline distT="0" distB="0" distL="0" distR="0" wp14:anchorId="51824889" wp14:editId="573D3AD7">
          <wp:extent cx="5384165" cy="852805"/>
          <wp:effectExtent l="0" t="0" r="0" b="4445"/>
          <wp:docPr id="1884670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926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1C41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E0E71"/>
    <w:multiLevelType w:val="multilevel"/>
    <w:tmpl w:val="65B4066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DA37CF"/>
    <w:multiLevelType w:val="hybridMultilevel"/>
    <w:tmpl w:val="5B3ED3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EE7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356BDD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F01D7F"/>
    <w:multiLevelType w:val="hybridMultilevel"/>
    <w:tmpl w:val="A1863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3B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C85983"/>
    <w:multiLevelType w:val="hybridMultilevel"/>
    <w:tmpl w:val="F444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8B"/>
    <w:multiLevelType w:val="hybridMultilevel"/>
    <w:tmpl w:val="2C042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B8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920758"/>
    <w:multiLevelType w:val="multilevel"/>
    <w:tmpl w:val="4A22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poziomnrumerkow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EF70EE"/>
    <w:multiLevelType w:val="multilevel"/>
    <w:tmpl w:val="C61831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63751E"/>
    <w:multiLevelType w:val="hybridMultilevel"/>
    <w:tmpl w:val="A47EE8AE"/>
    <w:lvl w:ilvl="0" w:tplc="045C9836">
      <w:start w:val="3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45B1"/>
    <w:multiLevelType w:val="hybridMultilevel"/>
    <w:tmpl w:val="D73A754E"/>
    <w:lvl w:ilvl="0" w:tplc="2D3CA1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7D93332"/>
    <w:multiLevelType w:val="multilevel"/>
    <w:tmpl w:val="DFF66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39CC0489"/>
    <w:multiLevelType w:val="hybridMultilevel"/>
    <w:tmpl w:val="36AEFC74"/>
    <w:lvl w:ilvl="0" w:tplc="0F161B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F161BE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B8A7024"/>
    <w:multiLevelType w:val="multilevel"/>
    <w:tmpl w:val="9666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8" w15:restartNumberingAfterBreak="0">
    <w:nsid w:val="40DB4B5C"/>
    <w:multiLevelType w:val="hybridMultilevel"/>
    <w:tmpl w:val="6A16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01F8C"/>
    <w:multiLevelType w:val="hybridMultilevel"/>
    <w:tmpl w:val="6EC87C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10D2A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2D1FC1"/>
    <w:multiLevelType w:val="hybridMultilevel"/>
    <w:tmpl w:val="583693C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45100E"/>
    <w:multiLevelType w:val="hybridMultilevel"/>
    <w:tmpl w:val="7BDC2D24"/>
    <w:lvl w:ilvl="0" w:tplc="1DD0184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5B0677"/>
    <w:multiLevelType w:val="multilevel"/>
    <w:tmpl w:val="D7AA5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54309"/>
    <w:multiLevelType w:val="hybridMultilevel"/>
    <w:tmpl w:val="A68CC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F141DC"/>
    <w:multiLevelType w:val="multilevel"/>
    <w:tmpl w:val="7714B57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64A9013C"/>
    <w:multiLevelType w:val="multilevel"/>
    <w:tmpl w:val="050C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E0ED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BC41E6E"/>
    <w:multiLevelType w:val="multilevel"/>
    <w:tmpl w:val="6082E3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4472C4" w:themeColor="accent1"/>
      </w:rPr>
    </w:lvl>
    <w:lvl w:ilvl="1">
      <w:start w:val="2"/>
      <w:numFmt w:val="decimal"/>
      <w:isLgl/>
      <w:lvlText w:val="%1.%2."/>
      <w:lvlJc w:val="left"/>
      <w:pPr>
        <w:ind w:left="652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9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A9144B"/>
    <w:multiLevelType w:val="hybridMultilevel"/>
    <w:tmpl w:val="85F0D5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F39AA"/>
    <w:multiLevelType w:val="hybridMultilevel"/>
    <w:tmpl w:val="E820B444"/>
    <w:lvl w:ilvl="0" w:tplc="2D3CA18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ABA141B"/>
    <w:multiLevelType w:val="hybridMultilevel"/>
    <w:tmpl w:val="C2E0AA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065845"/>
    <w:multiLevelType w:val="multilevel"/>
    <w:tmpl w:val="3AE01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 w16cid:durableId="770509850">
    <w:abstractNumId w:val="23"/>
  </w:num>
  <w:num w:numId="2" w16cid:durableId="355931097">
    <w:abstractNumId w:val="3"/>
  </w:num>
  <w:num w:numId="3" w16cid:durableId="1088690571">
    <w:abstractNumId w:val="28"/>
  </w:num>
  <w:num w:numId="4" w16cid:durableId="621495313">
    <w:abstractNumId w:val="32"/>
  </w:num>
  <w:num w:numId="5" w16cid:durableId="790052891">
    <w:abstractNumId w:val="15"/>
  </w:num>
  <w:num w:numId="6" w16cid:durableId="494423129">
    <w:abstractNumId w:val="21"/>
  </w:num>
  <w:num w:numId="7" w16cid:durableId="1563368533">
    <w:abstractNumId w:val="2"/>
  </w:num>
  <w:num w:numId="8" w16cid:durableId="239798263">
    <w:abstractNumId w:val="13"/>
  </w:num>
  <w:num w:numId="9" w16cid:durableId="283385086">
    <w:abstractNumId w:val="6"/>
  </w:num>
  <w:num w:numId="10" w16cid:durableId="481889008">
    <w:abstractNumId w:val="30"/>
  </w:num>
  <w:num w:numId="11" w16cid:durableId="403646238">
    <w:abstractNumId w:val="11"/>
  </w:num>
  <w:num w:numId="12" w16cid:durableId="1158765266">
    <w:abstractNumId w:val="17"/>
  </w:num>
  <w:num w:numId="13" w16cid:durableId="1695644205">
    <w:abstractNumId w:val="16"/>
  </w:num>
  <w:num w:numId="14" w16cid:durableId="2137139305">
    <w:abstractNumId w:val="14"/>
  </w:num>
  <w:num w:numId="15" w16cid:durableId="1538204395">
    <w:abstractNumId w:val="31"/>
  </w:num>
  <w:num w:numId="16" w16cid:durableId="1514344681">
    <w:abstractNumId w:val="25"/>
  </w:num>
  <w:num w:numId="17" w16cid:durableId="348070692">
    <w:abstractNumId w:val="33"/>
  </w:num>
  <w:num w:numId="18" w16cid:durableId="2073195583">
    <w:abstractNumId w:val="22"/>
  </w:num>
  <w:num w:numId="19" w16cid:durableId="1972595457">
    <w:abstractNumId w:val="24"/>
  </w:num>
  <w:num w:numId="20" w16cid:durableId="1559783195">
    <w:abstractNumId w:val="29"/>
  </w:num>
  <w:num w:numId="21" w16cid:durableId="306713035">
    <w:abstractNumId w:val="19"/>
  </w:num>
  <w:num w:numId="22" w16cid:durableId="1667171242">
    <w:abstractNumId w:val="9"/>
  </w:num>
  <w:num w:numId="23" w16cid:durableId="1897663127">
    <w:abstractNumId w:val="26"/>
  </w:num>
  <w:num w:numId="24" w16cid:durableId="1151361685">
    <w:abstractNumId w:val="5"/>
  </w:num>
  <w:num w:numId="25" w16cid:durableId="1876769347">
    <w:abstractNumId w:val="20"/>
  </w:num>
  <w:num w:numId="26" w16cid:durableId="872040214">
    <w:abstractNumId w:val="18"/>
  </w:num>
  <w:num w:numId="27" w16cid:durableId="295524205">
    <w:abstractNumId w:val="10"/>
  </w:num>
  <w:num w:numId="28" w16cid:durableId="1054933342">
    <w:abstractNumId w:val="4"/>
  </w:num>
  <w:num w:numId="29" w16cid:durableId="29036920">
    <w:abstractNumId w:val="27"/>
  </w:num>
  <w:num w:numId="30" w16cid:durableId="1614703014">
    <w:abstractNumId w:val="7"/>
  </w:num>
  <w:num w:numId="31" w16cid:durableId="560017022">
    <w:abstractNumId w:val="1"/>
  </w:num>
  <w:num w:numId="32" w16cid:durableId="1106147414">
    <w:abstractNumId w:val="0"/>
  </w:num>
  <w:num w:numId="33" w16cid:durableId="230848950">
    <w:abstractNumId w:val="12"/>
  </w:num>
  <w:num w:numId="34" w16cid:durableId="1169251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9"/>
    <w:rsid w:val="00006F4B"/>
    <w:rsid w:val="000142C0"/>
    <w:rsid w:val="00026FE0"/>
    <w:rsid w:val="00045ED5"/>
    <w:rsid w:val="00055575"/>
    <w:rsid w:val="00070A59"/>
    <w:rsid w:val="000752DF"/>
    <w:rsid w:val="00077D4E"/>
    <w:rsid w:val="0009187B"/>
    <w:rsid w:val="00096154"/>
    <w:rsid w:val="000A6590"/>
    <w:rsid w:val="000B2E7C"/>
    <w:rsid w:val="000C16A9"/>
    <w:rsid w:val="000E57CA"/>
    <w:rsid w:val="0017449C"/>
    <w:rsid w:val="00176AC9"/>
    <w:rsid w:val="00186C68"/>
    <w:rsid w:val="00197782"/>
    <w:rsid w:val="001B26A4"/>
    <w:rsid w:val="001B7D47"/>
    <w:rsid w:val="001F7529"/>
    <w:rsid w:val="00204257"/>
    <w:rsid w:val="00204D36"/>
    <w:rsid w:val="00211627"/>
    <w:rsid w:val="00221588"/>
    <w:rsid w:val="00235C9C"/>
    <w:rsid w:val="00237062"/>
    <w:rsid w:val="002E36F0"/>
    <w:rsid w:val="00330CE5"/>
    <w:rsid w:val="00345CC3"/>
    <w:rsid w:val="003662C4"/>
    <w:rsid w:val="00373D7E"/>
    <w:rsid w:val="003A296E"/>
    <w:rsid w:val="003F69BE"/>
    <w:rsid w:val="00411C10"/>
    <w:rsid w:val="004131EE"/>
    <w:rsid w:val="00473B9C"/>
    <w:rsid w:val="00474030"/>
    <w:rsid w:val="004B1CE4"/>
    <w:rsid w:val="004E17E3"/>
    <w:rsid w:val="004E2EFA"/>
    <w:rsid w:val="00506448"/>
    <w:rsid w:val="0053163F"/>
    <w:rsid w:val="005767ED"/>
    <w:rsid w:val="005C1EAB"/>
    <w:rsid w:val="005E10B4"/>
    <w:rsid w:val="00605E53"/>
    <w:rsid w:val="00636BF4"/>
    <w:rsid w:val="00647A5D"/>
    <w:rsid w:val="006A33FB"/>
    <w:rsid w:val="006B57E5"/>
    <w:rsid w:val="006D0893"/>
    <w:rsid w:val="006D2630"/>
    <w:rsid w:val="006D7E47"/>
    <w:rsid w:val="007079C3"/>
    <w:rsid w:val="0071391F"/>
    <w:rsid w:val="007148A8"/>
    <w:rsid w:val="007156BA"/>
    <w:rsid w:val="00763EA1"/>
    <w:rsid w:val="00781A48"/>
    <w:rsid w:val="007B6BA3"/>
    <w:rsid w:val="007C15C2"/>
    <w:rsid w:val="007D2176"/>
    <w:rsid w:val="007D4A89"/>
    <w:rsid w:val="00814846"/>
    <w:rsid w:val="0082699B"/>
    <w:rsid w:val="00840423"/>
    <w:rsid w:val="008A2D1C"/>
    <w:rsid w:val="008B36DC"/>
    <w:rsid w:val="008C374D"/>
    <w:rsid w:val="008F5E1F"/>
    <w:rsid w:val="00905246"/>
    <w:rsid w:val="00914C8C"/>
    <w:rsid w:val="00916DFA"/>
    <w:rsid w:val="009630DC"/>
    <w:rsid w:val="009652EA"/>
    <w:rsid w:val="00980198"/>
    <w:rsid w:val="00997E8A"/>
    <w:rsid w:val="009D0248"/>
    <w:rsid w:val="009E7DC0"/>
    <w:rsid w:val="009F61FC"/>
    <w:rsid w:val="009F6899"/>
    <w:rsid w:val="00A15148"/>
    <w:rsid w:val="00A1665B"/>
    <w:rsid w:val="00A16E32"/>
    <w:rsid w:val="00A20FE7"/>
    <w:rsid w:val="00A27F05"/>
    <w:rsid w:val="00A56A1F"/>
    <w:rsid w:val="00A71756"/>
    <w:rsid w:val="00A77D1C"/>
    <w:rsid w:val="00A81373"/>
    <w:rsid w:val="00A860E5"/>
    <w:rsid w:val="00AA2DE1"/>
    <w:rsid w:val="00AB4010"/>
    <w:rsid w:val="00AB6328"/>
    <w:rsid w:val="00AC19FB"/>
    <w:rsid w:val="00AF04CE"/>
    <w:rsid w:val="00AF4C39"/>
    <w:rsid w:val="00B15975"/>
    <w:rsid w:val="00B32AC3"/>
    <w:rsid w:val="00B44A63"/>
    <w:rsid w:val="00B921B1"/>
    <w:rsid w:val="00BB67E5"/>
    <w:rsid w:val="00BC2946"/>
    <w:rsid w:val="00BC5850"/>
    <w:rsid w:val="00BE439F"/>
    <w:rsid w:val="00C25AE2"/>
    <w:rsid w:val="00C776DE"/>
    <w:rsid w:val="00D01586"/>
    <w:rsid w:val="00D07EF7"/>
    <w:rsid w:val="00D55D42"/>
    <w:rsid w:val="00DB7707"/>
    <w:rsid w:val="00DC0A18"/>
    <w:rsid w:val="00E0286F"/>
    <w:rsid w:val="00E1663B"/>
    <w:rsid w:val="00E2590C"/>
    <w:rsid w:val="00E32895"/>
    <w:rsid w:val="00E44427"/>
    <w:rsid w:val="00E63601"/>
    <w:rsid w:val="00E73353"/>
    <w:rsid w:val="00E767B8"/>
    <w:rsid w:val="00E80BD6"/>
    <w:rsid w:val="00EE2BE3"/>
    <w:rsid w:val="00F24E07"/>
    <w:rsid w:val="00F41508"/>
    <w:rsid w:val="00F444C5"/>
    <w:rsid w:val="00F718A3"/>
    <w:rsid w:val="00F84E26"/>
    <w:rsid w:val="00FA1437"/>
    <w:rsid w:val="00FA26FB"/>
    <w:rsid w:val="00FD27E7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DA00"/>
  <w15:chartTrackingRefBased/>
  <w15:docId w15:val="{E2A52165-F6DC-456F-B0BD-F0320046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77D1C"/>
    <w:pPr>
      <w:keepNext/>
      <w:numPr>
        <w:numId w:val="7"/>
      </w:numPr>
      <w:spacing w:before="240" w:after="60" w:line="360" w:lineRule="auto"/>
      <w:ind w:left="0" w:firstLine="0"/>
      <w:jc w:val="both"/>
      <w:outlineLvl w:val="0"/>
    </w:pPr>
    <w:rPr>
      <w:rFonts w:ascii="Arial Narrow" w:hAnsi="Arial Narrow"/>
      <w:b/>
      <w:kern w:val="28"/>
      <w:sz w:val="28"/>
      <w:szCs w:val="20"/>
    </w:rPr>
  </w:style>
  <w:style w:type="paragraph" w:styleId="Nagwek2">
    <w:name w:val="heading 2"/>
    <w:basedOn w:val="Nagwek1"/>
    <w:next w:val="Normalny"/>
    <w:link w:val="Nagwek2Znak"/>
    <w:qFormat/>
    <w:rsid w:val="00A77D1C"/>
    <w:pPr>
      <w:numPr>
        <w:ilvl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77D1C"/>
    <w:pPr>
      <w:keepNext/>
      <w:numPr>
        <w:ilvl w:val="2"/>
        <w:numId w:val="7"/>
      </w:numPr>
      <w:spacing w:before="240" w:after="60" w:line="360" w:lineRule="auto"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A77D1C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77D1C"/>
    <w:pPr>
      <w:numPr>
        <w:ilvl w:val="4"/>
        <w:numId w:val="7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A77D1C"/>
    <w:pPr>
      <w:numPr>
        <w:ilvl w:val="5"/>
        <w:numId w:val="7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A77D1C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77D1C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77D1C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2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320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7D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rsid w:val="00A77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A77D1C"/>
  </w:style>
  <w:style w:type="character" w:customStyle="1" w:styleId="Nagwek1Znak">
    <w:name w:val="Nagłówek 1 Znak"/>
    <w:basedOn w:val="Domylnaczcionkaakapitu"/>
    <w:link w:val="Nagwek1"/>
    <w:rsid w:val="00A77D1C"/>
    <w:rPr>
      <w:rFonts w:ascii="Arial Narrow" w:eastAsia="Times New Roman" w:hAnsi="Arial Narrow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C"/>
    <w:rPr>
      <w:rFonts w:ascii="Arial Narrow" w:eastAsia="Times New Roman" w:hAnsi="Arial Narrow" w:cs="Times New Roman"/>
      <w:b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D1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D1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D1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D1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7D1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77D1C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7D1C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Pismoakapit">
    <w:name w:val="Pismo_akapit"/>
    <w:basedOn w:val="Normalny"/>
    <w:link w:val="PismoakapitZnak"/>
    <w:qFormat/>
    <w:rsid w:val="00A77D1C"/>
    <w:pPr>
      <w:spacing w:before="200" w:after="200" w:line="300" w:lineRule="auto"/>
      <w:ind w:firstLine="709"/>
      <w:jc w:val="both"/>
    </w:pPr>
    <w:rPr>
      <w:rFonts w:ascii="Arial Narrow" w:eastAsiaTheme="minorHAnsi" w:hAnsi="Arial Narrow" w:cs="Arial"/>
      <w:sz w:val="22"/>
      <w:szCs w:val="22"/>
      <w:lang w:eastAsia="en-US"/>
    </w:rPr>
  </w:style>
  <w:style w:type="character" w:customStyle="1" w:styleId="PismoakapitZnak">
    <w:name w:val="Pismo_akapit Znak"/>
    <w:basedOn w:val="Domylnaczcionkaakapitu"/>
    <w:link w:val="Pismoakapit"/>
    <w:rsid w:val="00A77D1C"/>
    <w:rPr>
      <w:rFonts w:ascii="Arial Narrow" w:hAnsi="Arial Narrow" w:cs="Arial"/>
    </w:rPr>
  </w:style>
  <w:style w:type="paragraph" w:customStyle="1" w:styleId="2poziomnrumerkow">
    <w:name w:val="2 poziom nrumerkow"/>
    <w:basedOn w:val="Akapitzlist"/>
    <w:link w:val="2poziomnrumerkowZnak"/>
    <w:qFormat/>
    <w:rsid w:val="006A33FB"/>
    <w:pPr>
      <w:numPr>
        <w:ilvl w:val="1"/>
        <w:numId w:val="11"/>
      </w:numPr>
      <w:spacing w:after="200" w:line="276" w:lineRule="auto"/>
      <w:jc w:val="both"/>
    </w:pPr>
    <w:rPr>
      <w:rFonts w:ascii="Arial" w:hAnsi="Arial" w:cs="Arial"/>
    </w:rPr>
  </w:style>
  <w:style w:type="character" w:customStyle="1" w:styleId="2poziomnrumerkowZnak">
    <w:name w:val="2 poziom nrumerkow Znak"/>
    <w:basedOn w:val="AkapitzlistZnak"/>
    <w:link w:val="2poziomnrumerkow"/>
    <w:rsid w:val="006A33F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1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63B-1D91-4750-8511-2ACBB46C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3234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37</cp:revision>
  <cp:lastPrinted>2021-05-06T11:23:00Z</cp:lastPrinted>
  <dcterms:created xsi:type="dcterms:W3CDTF">2021-04-15T07:20:00Z</dcterms:created>
  <dcterms:modified xsi:type="dcterms:W3CDTF">2024-03-21T07:51:00Z</dcterms:modified>
</cp:coreProperties>
</file>