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EBB2" w14:textId="0F91CE65" w:rsidR="00B8347B" w:rsidRPr="00F1342C" w:rsidRDefault="00261C9D" w:rsidP="00F1342C">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r w:rsidR="00B8347B"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ym dalej „ Wykonawcą”  reprezentowaną/ ym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7BABED75"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 xml:space="preserve">Na podstawie art. 275 ust. </w:t>
      </w:r>
      <w:r w:rsidR="00F1342C">
        <w:rPr>
          <w:rFonts w:ascii="Times New Roman" w:eastAsia="Times New Roman" w:hAnsi="Times New Roman" w:cs="Times New Roman"/>
          <w:b/>
          <w:sz w:val="26"/>
          <w:szCs w:val="20"/>
          <w:lang w:eastAsia="pl-PL"/>
        </w:rPr>
        <w:t>2</w:t>
      </w:r>
      <w:r w:rsidRPr="00B8347B">
        <w:rPr>
          <w:rFonts w:ascii="Times New Roman" w:eastAsia="Times New Roman" w:hAnsi="Times New Roman" w:cs="Times New Roman"/>
          <w:b/>
          <w:sz w:val="26"/>
          <w:szCs w:val="20"/>
          <w:lang w:eastAsia="pl-PL"/>
        </w:rPr>
        <w:t xml:space="preserve"> ustawy Prawo zamówień publicznych ( tj. Dz.U.  20</w:t>
      </w:r>
      <w:r w:rsidR="00E5177C">
        <w:rPr>
          <w:rFonts w:ascii="Times New Roman" w:eastAsia="Times New Roman" w:hAnsi="Times New Roman" w:cs="Times New Roman"/>
          <w:b/>
          <w:sz w:val="26"/>
          <w:szCs w:val="20"/>
          <w:lang w:eastAsia="pl-PL"/>
        </w:rPr>
        <w:t>2</w:t>
      </w:r>
      <w:r w:rsidR="00F1342C">
        <w:rPr>
          <w:rFonts w:ascii="Times New Roman" w:eastAsia="Times New Roman" w:hAnsi="Times New Roman" w:cs="Times New Roman"/>
          <w:b/>
          <w:sz w:val="26"/>
          <w:szCs w:val="20"/>
          <w:lang w:eastAsia="pl-PL"/>
        </w:rPr>
        <w:t>2</w:t>
      </w:r>
      <w:r w:rsidRPr="00B8347B">
        <w:rPr>
          <w:rFonts w:ascii="Times New Roman" w:eastAsia="Times New Roman" w:hAnsi="Times New Roman" w:cs="Times New Roman"/>
          <w:b/>
          <w:sz w:val="26"/>
          <w:szCs w:val="20"/>
          <w:lang w:eastAsia="pl-PL"/>
        </w:rPr>
        <w:t xml:space="preserve"> poz. </w:t>
      </w:r>
      <w:r w:rsidR="00E5177C">
        <w:rPr>
          <w:rFonts w:ascii="Times New Roman" w:eastAsia="Times New Roman" w:hAnsi="Times New Roman" w:cs="Times New Roman"/>
          <w:b/>
          <w:sz w:val="26"/>
          <w:szCs w:val="20"/>
          <w:lang w:eastAsia="pl-PL"/>
        </w:rPr>
        <w:t>1</w:t>
      </w:r>
      <w:r w:rsidR="00F1342C">
        <w:rPr>
          <w:rFonts w:ascii="Times New Roman" w:eastAsia="Times New Roman" w:hAnsi="Times New Roman" w:cs="Times New Roman"/>
          <w:b/>
          <w:sz w:val="26"/>
          <w:szCs w:val="20"/>
          <w:lang w:eastAsia="pl-PL"/>
        </w:rPr>
        <w:t>710 ze zm.</w:t>
      </w:r>
      <w:r w:rsidRPr="00B8347B">
        <w:rPr>
          <w:rFonts w:ascii="Times New Roman" w:eastAsia="Times New Roman" w:hAnsi="Times New Roman" w:cs="Times New Roman"/>
          <w:b/>
          <w:sz w:val="26"/>
          <w:szCs w:val="20"/>
          <w:lang w:eastAsia="pl-PL"/>
        </w:rPr>
        <w:t>)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48D50CD9" w14:textId="04B79669" w:rsidR="00F1342C" w:rsidRDefault="00B8347B" w:rsidP="00F1342C">
      <w:pPr>
        <w:pStyle w:val="Default"/>
        <w:numPr>
          <w:ilvl w:val="1"/>
          <w:numId w:val="42"/>
        </w:numPr>
        <w:jc w:val="both"/>
        <w:rPr>
          <w:rFonts w:ascii="Times New Roman" w:hAnsi="Times New Roman" w:cs="Times New Roman"/>
          <w:b/>
          <w:bCs/>
        </w:rPr>
      </w:pPr>
      <w:r w:rsidRPr="00B8347B">
        <w:rPr>
          <w:rFonts w:ascii="Times New Roman" w:hAnsi="Times New Roman" w:cs="Times New Roman"/>
          <w:spacing w:val="-10"/>
        </w:rPr>
        <w:t>Zgodnie z wynikiem postępowania z dnia …...202</w:t>
      </w:r>
      <w:r w:rsidR="00F1342C">
        <w:rPr>
          <w:rFonts w:ascii="Times New Roman" w:hAnsi="Times New Roman" w:cs="Times New Roman"/>
          <w:spacing w:val="-10"/>
        </w:rPr>
        <w:t>3</w:t>
      </w:r>
      <w:r w:rsidRPr="00B8347B">
        <w:rPr>
          <w:rFonts w:ascii="Times New Roman" w:hAnsi="Times New Roman" w:cs="Times New Roman"/>
          <w:spacing w:val="-10"/>
        </w:rPr>
        <w:t>r. Zamawiający zleca a Wykonawca przyjmuje do wykonania zadani</w:t>
      </w:r>
      <w:r w:rsidR="00703898">
        <w:rPr>
          <w:rFonts w:ascii="Times New Roman" w:hAnsi="Times New Roman" w:cs="Times New Roman"/>
          <w:spacing w:val="-10"/>
        </w:rPr>
        <w:t xml:space="preserve">e </w:t>
      </w:r>
      <w:r w:rsidRPr="00B8347B">
        <w:rPr>
          <w:rFonts w:ascii="Times New Roman" w:hAnsi="Times New Roman" w:cs="Times New Roman"/>
          <w:spacing w:val="-10"/>
        </w:rPr>
        <w:t xml:space="preserve"> pod nazwą: </w:t>
      </w:r>
      <w:r w:rsidR="00F1342C" w:rsidRPr="008C55E5">
        <w:rPr>
          <w:rFonts w:ascii="Times New Roman" w:hAnsi="Times New Roman" w:cs="Times New Roman"/>
          <w:b/>
          <w:bCs/>
        </w:rPr>
        <w:t>„Zagospodarowanie zbiornika wodnego Andrzejówka wraz z terenem przyległym w celu ochrony i promocji różnorodności biologicznej – etap II”</w:t>
      </w:r>
      <w:r w:rsidR="00F1342C">
        <w:rPr>
          <w:rFonts w:ascii="Times New Roman" w:hAnsi="Times New Roman" w:cs="Times New Roman"/>
          <w:b/>
          <w:bCs/>
        </w:rPr>
        <w:t>.</w:t>
      </w:r>
    </w:p>
    <w:p w14:paraId="70A45F72" w14:textId="4D5FEDB3" w:rsidR="00F1342C" w:rsidRPr="005668E1" w:rsidRDefault="00F1342C" w:rsidP="00F1342C">
      <w:pPr>
        <w:pStyle w:val="Akapitzlist"/>
        <w:numPr>
          <w:ilvl w:val="1"/>
          <w:numId w:val="42"/>
        </w:numPr>
        <w:autoSpaceDE w:val="0"/>
        <w:autoSpaceDN w:val="0"/>
        <w:adjustRightInd w:val="0"/>
        <w:spacing w:line="276" w:lineRule="auto"/>
        <w:jc w:val="both"/>
        <w:rPr>
          <w:rFonts w:ascii="Times New Roman" w:hAnsi="Times New Roman"/>
          <w:color w:val="000000"/>
          <w:sz w:val="24"/>
          <w:szCs w:val="24"/>
        </w:rPr>
      </w:pPr>
      <w:r w:rsidRPr="005668E1">
        <w:rPr>
          <w:rFonts w:ascii="Times New Roman" w:hAnsi="Times New Roman"/>
          <w:color w:val="000000"/>
          <w:sz w:val="24"/>
          <w:szCs w:val="24"/>
        </w:rPr>
        <w:t xml:space="preserve">Przedmiot zamówienia obejmuje zagospodarowanie terenu, w ramach </w:t>
      </w:r>
      <w:r w:rsidR="005668E1" w:rsidRPr="005668E1">
        <w:rPr>
          <w:rFonts w:ascii="Times New Roman" w:hAnsi="Times New Roman"/>
          <w:color w:val="000000"/>
          <w:sz w:val="24"/>
          <w:szCs w:val="24"/>
        </w:rPr>
        <w:t>którego należy wykonać</w:t>
      </w:r>
      <w:r w:rsidRPr="005668E1">
        <w:rPr>
          <w:rFonts w:ascii="Times New Roman" w:hAnsi="Times New Roman"/>
          <w:color w:val="000000"/>
          <w:sz w:val="24"/>
          <w:szCs w:val="24"/>
        </w:rPr>
        <w:t>:</w:t>
      </w:r>
    </w:p>
    <w:p w14:paraId="6CEE7BD7" w14:textId="637B7B1D" w:rsidR="00F1342C" w:rsidRPr="005668E1" w:rsidRDefault="00F1342C" w:rsidP="00F1342C">
      <w:pPr>
        <w:pStyle w:val="Akapitzlist"/>
        <w:numPr>
          <w:ilvl w:val="0"/>
          <w:numId w:val="44"/>
        </w:numPr>
        <w:autoSpaceDE w:val="0"/>
        <w:autoSpaceDN w:val="0"/>
        <w:adjustRightInd w:val="0"/>
        <w:spacing w:after="0" w:line="276" w:lineRule="auto"/>
        <w:jc w:val="both"/>
        <w:rPr>
          <w:rFonts w:ascii="Times New Roman" w:eastAsiaTheme="minorHAnsi" w:hAnsi="Times New Roman"/>
          <w:color w:val="000000"/>
          <w:sz w:val="24"/>
          <w:szCs w:val="24"/>
        </w:rPr>
      </w:pPr>
      <w:r w:rsidRPr="005668E1">
        <w:rPr>
          <w:rFonts w:ascii="Times New Roman" w:eastAsiaTheme="minorHAnsi" w:hAnsi="Times New Roman"/>
          <w:color w:val="000000"/>
          <w:sz w:val="24"/>
          <w:szCs w:val="24"/>
        </w:rPr>
        <w:t xml:space="preserve">Rozbudowę ścieżki edukacyjnej po obu stronach zbiornika Andrzejówka, </w:t>
      </w:r>
    </w:p>
    <w:p w14:paraId="1411E8CF" w14:textId="312956C2" w:rsidR="00F1342C" w:rsidRPr="005668E1" w:rsidRDefault="00F1342C" w:rsidP="00F1342C">
      <w:pPr>
        <w:pStyle w:val="Akapitzlist"/>
        <w:numPr>
          <w:ilvl w:val="0"/>
          <w:numId w:val="44"/>
        </w:numPr>
        <w:autoSpaceDE w:val="0"/>
        <w:autoSpaceDN w:val="0"/>
        <w:adjustRightInd w:val="0"/>
        <w:spacing w:after="0" w:line="276" w:lineRule="auto"/>
        <w:jc w:val="both"/>
        <w:rPr>
          <w:rFonts w:ascii="Times New Roman" w:eastAsiaTheme="minorHAnsi" w:hAnsi="Times New Roman"/>
          <w:color w:val="000000"/>
          <w:sz w:val="24"/>
          <w:szCs w:val="24"/>
        </w:rPr>
      </w:pPr>
      <w:r w:rsidRPr="005668E1">
        <w:rPr>
          <w:rFonts w:ascii="Times New Roman" w:eastAsiaTheme="minorHAnsi" w:hAnsi="Times New Roman"/>
          <w:color w:val="000000"/>
          <w:sz w:val="24"/>
          <w:szCs w:val="24"/>
        </w:rPr>
        <w:t>Zakup i montaż elementów małej architektury,</w:t>
      </w:r>
    </w:p>
    <w:p w14:paraId="0E1D10DD" w14:textId="4B1B199E" w:rsidR="00F1342C" w:rsidRPr="005668E1" w:rsidRDefault="00F1342C" w:rsidP="00F1342C">
      <w:pPr>
        <w:pStyle w:val="Akapitzlist"/>
        <w:numPr>
          <w:ilvl w:val="0"/>
          <w:numId w:val="44"/>
        </w:numPr>
        <w:autoSpaceDE w:val="0"/>
        <w:autoSpaceDN w:val="0"/>
        <w:adjustRightInd w:val="0"/>
        <w:spacing w:after="0" w:line="276" w:lineRule="auto"/>
        <w:jc w:val="both"/>
        <w:rPr>
          <w:rFonts w:ascii="Times New Roman" w:eastAsiaTheme="minorHAnsi" w:hAnsi="Times New Roman"/>
          <w:color w:val="000000"/>
          <w:sz w:val="24"/>
          <w:szCs w:val="24"/>
        </w:rPr>
      </w:pPr>
      <w:r w:rsidRPr="005668E1">
        <w:rPr>
          <w:rFonts w:ascii="Times New Roman" w:eastAsiaTheme="minorHAnsi" w:hAnsi="Times New Roman"/>
          <w:color w:val="000000"/>
          <w:sz w:val="24"/>
          <w:szCs w:val="24"/>
        </w:rPr>
        <w:t xml:space="preserve">Nasadzenie drzew, krzewów i bylin. </w:t>
      </w:r>
    </w:p>
    <w:p w14:paraId="17DFEDEF" w14:textId="77777777" w:rsidR="00F1342C" w:rsidRPr="008C55E5" w:rsidRDefault="00F1342C" w:rsidP="00F1342C">
      <w:pPr>
        <w:pStyle w:val="Default"/>
        <w:ind w:left="375"/>
        <w:jc w:val="both"/>
        <w:rPr>
          <w:rFonts w:ascii="Times New Roman" w:hAnsi="Times New Roman" w:cs="Times New Roman"/>
          <w:color w:val="auto"/>
        </w:rPr>
      </w:pPr>
    </w:p>
    <w:p w14:paraId="74939A36" w14:textId="77777777"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77777777"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wraz z wykonaniem i złożeniem w Powiatowym Ośrodku Dokumentacji Geodezyjnej i Kartograficznej w Kielcach inwentaryzacji geodezyjnej powykonawczej ustala się na dzień:</w:t>
      </w:r>
    </w:p>
    <w:p w14:paraId="28CAC33A" w14:textId="7E9FCB39"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0" w:name="_Hlk65825404"/>
      <w:r w:rsidRPr="00B8347B">
        <w:rPr>
          <w:rFonts w:ascii="Times New Roman" w:eastAsia="Times New Roman" w:hAnsi="Times New Roman" w:cs="Times New Roman"/>
          <w:spacing w:val="-3"/>
          <w:sz w:val="24"/>
          <w:szCs w:val="24"/>
          <w:lang w:eastAsia="pl-PL"/>
        </w:rPr>
        <w:t xml:space="preserve">- </w:t>
      </w:r>
      <w:r w:rsidR="00652E0F" w:rsidRPr="0087570D">
        <w:rPr>
          <w:rFonts w:ascii="Times New Roman" w:eastAsia="Times New Roman" w:hAnsi="Times New Roman" w:cs="Times New Roman"/>
          <w:b/>
          <w:bCs/>
          <w:spacing w:val="-3"/>
          <w:sz w:val="24"/>
          <w:szCs w:val="24"/>
          <w:lang w:eastAsia="pl-PL"/>
        </w:rPr>
        <w:t>do</w:t>
      </w:r>
      <w:r w:rsidRPr="0087570D">
        <w:rPr>
          <w:rFonts w:ascii="Times New Roman" w:eastAsia="Times New Roman" w:hAnsi="Times New Roman" w:cs="Times New Roman"/>
          <w:b/>
          <w:bCs/>
          <w:spacing w:val="-3"/>
          <w:sz w:val="24"/>
          <w:szCs w:val="24"/>
          <w:lang w:eastAsia="pl-PL"/>
        </w:rPr>
        <w:t xml:space="preserve"> </w:t>
      </w:r>
      <w:bookmarkStart w:id="1" w:name="_Hlk65053300"/>
      <w:r w:rsidR="005668E1">
        <w:rPr>
          <w:rFonts w:ascii="Times New Roman" w:eastAsia="Times New Roman" w:hAnsi="Times New Roman" w:cs="Times New Roman"/>
          <w:b/>
          <w:bCs/>
          <w:spacing w:val="-3"/>
          <w:sz w:val="24"/>
          <w:szCs w:val="24"/>
          <w:lang w:eastAsia="pl-PL"/>
        </w:rPr>
        <w:t>6</w:t>
      </w:r>
      <w:r w:rsidRPr="00B8347B">
        <w:rPr>
          <w:rFonts w:ascii="Times New Roman" w:eastAsia="Times New Roman" w:hAnsi="Times New Roman" w:cs="Times New Roman"/>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w:t>
      </w:r>
      <w:bookmarkEnd w:id="1"/>
      <w:r w:rsidRPr="0087570D">
        <w:rPr>
          <w:rFonts w:ascii="Times New Roman" w:eastAsia="Times New Roman" w:hAnsi="Times New Roman" w:cs="Times New Roman"/>
          <w:spacing w:val="-3"/>
          <w:sz w:val="24"/>
          <w:szCs w:val="24"/>
          <w:lang w:eastAsia="pl-PL"/>
        </w:rPr>
        <w:t xml:space="preserve">do </w:t>
      </w:r>
      <w:r w:rsidR="005668E1">
        <w:rPr>
          <w:rFonts w:ascii="Times New Roman" w:eastAsia="Times New Roman" w:hAnsi="Times New Roman" w:cs="Times New Roman"/>
          <w:b/>
          <w:spacing w:val="-3"/>
          <w:sz w:val="24"/>
          <w:szCs w:val="24"/>
          <w:lang w:eastAsia="pl-PL"/>
        </w:rPr>
        <w:t>15</w:t>
      </w:r>
      <w:r w:rsidR="00652E0F" w:rsidRPr="0087570D">
        <w:rPr>
          <w:rFonts w:ascii="Times New Roman" w:eastAsia="Times New Roman" w:hAnsi="Times New Roman" w:cs="Times New Roman"/>
          <w:b/>
          <w:spacing w:val="-3"/>
          <w:sz w:val="24"/>
          <w:szCs w:val="24"/>
          <w:lang w:eastAsia="pl-PL"/>
        </w:rPr>
        <w:t>.</w:t>
      </w:r>
      <w:r w:rsidR="00E5177C">
        <w:rPr>
          <w:rFonts w:ascii="Times New Roman" w:eastAsia="Times New Roman" w:hAnsi="Times New Roman" w:cs="Times New Roman"/>
          <w:b/>
          <w:spacing w:val="-3"/>
          <w:sz w:val="24"/>
          <w:szCs w:val="24"/>
          <w:lang w:eastAsia="pl-PL"/>
        </w:rPr>
        <w:t>0</w:t>
      </w:r>
      <w:r w:rsidR="005668E1">
        <w:rPr>
          <w:rFonts w:ascii="Times New Roman" w:eastAsia="Times New Roman" w:hAnsi="Times New Roman" w:cs="Times New Roman"/>
          <w:b/>
          <w:spacing w:val="-3"/>
          <w:sz w:val="24"/>
          <w:szCs w:val="24"/>
          <w:lang w:eastAsia="pl-PL"/>
        </w:rPr>
        <w:t>9</w:t>
      </w:r>
      <w:r w:rsidR="00652E0F" w:rsidRPr="0087570D">
        <w:rPr>
          <w:rFonts w:ascii="Times New Roman" w:eastAsia="Times New Roman" w:hAnsi="Times New Roman" w:cs="Times New Roman"/>
          <w:b/>
          <w:spacing w:val="-3"/>
          <w:sz w:val="24"/>
          <w:szCs w:val="24"/>
          <w:lang w:eastAsia="pl-PL"/>
        </w:rPr>
        <w:t>.202</w:t>
      </w:r>
      <w:r w:rsidR="00E5177C">
        <w:rPr>
          <w:rFonts w:ascii="Times New Roman" w:eastAsia="Times New Roman" w:hAnsi="Times New Roman" w:cs="Times New Roman"/>
          <w:b/>
          <w:spacing w:val="-3"/>
          <w:sz w:val="24"/>
          <w:szCs w:val="24"/>
          <w:lang w:eastAsia="pl-PL"/>
        </w:rPr>
        <w:t>3</w:t>
      </w:r>
      <w:r w:rsidR="00703898">
        <w:rPr>
          <w:rFonts w:ascii="Times New Roman" w:eastAsia="Times New Roman" w:hAnsi="Times New Roman" w:cs="Times New Roman"/>
          <w:b/>
          <w:spacing w:val="-3"/>
          <w:sz w:val="24"/>
          <w:szCs w:val="24"/>
          <w:lang w:eastAsia="pl-PL"/>
        </w:rPr>
        <w:t xml:space="preserve"> r. </w:t>
      </w:r>
    </w:p>
    <w:bookmarkEnd w:id="0"/>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7777777"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Zbigniew Kuza</w:t>
      </w:r>
    </w:p>
    <w:p w14:paraId="4A9A8F27" w14:textId="77777777"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lastRenderedPageBreak/>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306A81AE" w14:textId="2388C5CA" w:rsidR="00B8347B" w:rsidRP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2" w:name="_Hlk64553843"/>
      <w:r w:rsidR="00F8417B" w:rsidRPr="00F8417B">
        <w:rPr>
          <w:rFonts w:ascii="Times New Roman" w:eastAsia="Times New Roman" w:hAnsi="Times New Roman" w:cs="Times New Roman"/>
          <w:bCs/>
          <w:sz w:val="24"/>
          <w:szCs w:val="24"/>
          <w:lang w:eastAsia="pl-PL"/>
        </w:rPr>
        <w:lastRenderedPageBreak/>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2"/>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28660223" w14:textId="77777777"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4"/>
          <w:u w:val="single"/>
          <w:lang w:eastAsia="pl-PL"/>
        </w:rPr>
      </w:pPr>
      <w:r w:rsidRPr="0017110F">
        <w:rPr>
          <w:rFonts w:ascii="Times New Roman" w:eastAsia="Times New Roman" w:hAnsi="Times New Roman" w:cs="Times New Roman"/>
          <w:spacing w:val="-3"/>
          <w:sz w:val="24"/>
          <w:szCs w:val="24"/>
          <w:lang w:eastAsia="pl-PL"/>
        </w:rPr>
        <w:t xml:space="preserve"> </w:t>
      </w:r>
      <w:r w:rsidRPr="0017110F">
        <w:rPr>
          <w:rFonts w:ascii="Times New Roman" w:eastAsia="Calibri" w:hAnsi="Times New Roman" w:cs="Times New Roman"/>
          <w:color w:val="000000"/>
          <w:sz w:val="24"/>
          <w:szCs w:val="24"/>
        </w:rPr>
        <w:t xml:space="preserve">Zamawiający dopuszcza możliwość </w:t>
      </w:r>
      <w:r w:rsidRPr="0017110F">
        <w:rPr>
          <w:rFonts w:ascii="Times New Roman" w:eastAsia="Times New Roman" w:hAnsi="Times New Roman" w:cs="Times New Roman"/>
          <w:spacing w:val="-2"/>
          <w:sz w:val="24"/>
          <w:szCs w:val="24"/>
          <w:lang w:eastAsia="pl-PL"/>
        </w:rPr>
        <w:t xml:space="preserve">rozliczenia wynagrodzenia, o którym mowa w ust. 1 fakturami częściowymi z zastrzeżeniem, iż: </w:t>
      </w:r>
    </w:p>
    <w:p w14:paraId="243E35A0"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Wysokość poszczególnych rat z proponowanym terminem płatności Wykonawca zaproponuje w Harmonogramie płatności. </w:t>
      </w:r>
    </w:p>
    <w:p w14:paraId="019BF7E5"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Wykonawca przygotuje Harmonogram płatności z uwzględnieniem następujących zasad:</w:t>
      </w:r>
    </w:p>
    <w:p w14:paraId="5781CB94" w14:textId="77777777" w:rsidR="00F8417B" w:rsidRPr="0017110F" w:rsidRDefault="00F8417B" w:rsidP="00F8417B">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  każda płatność częściowa nie częściej niż raz w miesiącu,</w:t>
      </w:r>
    </w:p>
    <w:p w14:paraId="296BE03C" w14:textId="77A71073" w:rsidR="00F8417B" w:rsidRPr="0017110F" w:rsidRDefault="00F8417B" w:rsidP="00F8417B">
      <w:pPr>
        <w:suppressAutoHyphen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co najmniej </w:t>
      </w:r>
      <w:r w:rsidR="006E3308">
        <w:rPr>
          <w:rFonts w:ascii="Times New Roman" w:eastAsia="Calibri" w:hAnsi="Times New Roman" w:cs="Times New Roman"/>
          <w:color w:val="000000"/>
          <w:sz w:val="24"/>
          <w:szCs w:val="24"/>
        </w:rPr>
        <w:t>2</w:t>
      </w:r>
      <w:r w:rsidRPr="0017110F">
        <w:rPr>
          <w:rFonts w:ascii="Times New Roman" w:eastAsia="Calibri" w:hAnsi="Times New Roman" w:cs="Times New Roman"/>
          <w:color w:val="000000"/>
          <w:sz w:val="24"/>
          <w:szCs w:val="24"/>
        </w:rPr>
        <w:t xml:space="preserve">0 % wynagrodzenia zostanie wypłacone na podstawie faktury końcowej wystawionej przez Wykonawcę po zakończeniu realizacji Umowy tj. po odbiorze końcowym. </w:t>
      </w:r>
    </w:p>
    <w:p w14:paraId="2A861937" w14:textId="60CC571C" w:rsidR="00F8417B" w:rsidRPr="0017110F" w:rsidRDefault="00F8417B" w:rsidP="00F8417B">
      <w:pPr>
        <w:numPr>
          <w:ilvl w:val="0"/>
          <w:numId w:val="38"/>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Harmonogram płatności, o którym mowa w pkt </w:t>
      </w:r>
      <w:r w:rsidR="006E3308">
        <w:rPr>
          <w:rFonts w:ascii="Times New Roman" w:eastAsia="Calibri" w:hAnsi="Times New Roman" w:cs="Times New Roman"/>
          <w:color w:val="000000"/>
          <w:sz w:val="24"/>
          <w:szCs w:val="24"/>
        </w:rPr>
        <w:t>5a-b</w:t>
      </w:r>
      <w:r w:rsidRPr="0017110F">
        <w:rPr>
          <w:rFonts w:ascii="Times New Roman" w:eastAsia="Calibri" w:hAnsi="Times New Roman" w:cs="Times New Roman"/>
          <w:color w:val="000000"/>
          <w:sz w:val="24"/>
          <w:szCs w:val="24"/>
        </w:rPr>
        <w:t>) podlega akceptacji Zamawiającego.</w:t>
      </w:r>
    </w:p>
    <w:p w14:paraId="75822E64" w14:textId="77777777" w:rsidR="00F8417B" w:rsidRPr="0017110F" w:rsidRDefault="00F8417B" w:rsidP="00F8417B">
      <w:pPr>
        <w:shd w:val="clear" w:color="auto" w:fill="FFFFFF"/>
        <w:tabs>
          <w:tab w:val="left" w:pos="469"/>
        </w:tabs>
        <w:spacing w:after="0" w:line="275" w:lineRule="exact"/>
        <w:ind w:left="720"/>
        <w:jc w:val="both"/>
        <w:rPr>
          <w:rFonts w:ascii="Times New Roman" w:eastAsia="Times New Roman" w:hAnsi="Times New Roman" w:cs="Times New Roman"/>
          <w:spacing w:val="-2"/>
          <w:sz w:val="23"/>
          <w:szCs w:val="23"/>
          <w:lang w:eastAsia="pl-PL"/>
        </w:rPr>
      </w:pPr>
    </w:p>
    <w:p w14:paraId="1E3AA33F" w14:textId="77777777"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77777777"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t xml:space="preserve"> </w:t>
      </w:r>
      <w:r w:rsidRPr="0017110F">
        <w:rPr>
          <w:rFonts w:ascii="Times New Roman" w:eastAsia="Times New Roman" w:hAnsi="Times New Roman" w:cs="Times New Roman"/>
          <w:sz w:val="24"/>
          <w:szCs w:val="24"/>
          <w:lang w:eastAsia="pl-PL"/>
        </w:rPr>
        <w:t>Warunkiem zapłaty przez Zamawiającego części należnego wynagrodzenia za zakończone i odebrane roboty budowlane jest przedłożenie przez Wykonawcę wraz ze składaną fakturą częściową zatwierdzonego protokołu odbioru częściowego wraz z dokumentami potwierdzającymi dokonanie zapłaty na rzecz Podwykonawcy /ów</w:t>
      </w:r>
      <w:r w:rsidRPr="0017110F">
        <w:rPr>
          <w:rFonts w:ascii="Times New Roman" w:eastAsia="Times New Roman" w:hAnsi="Times New Roman" w:cs="Times New Roman"/>
          <w:sz w:val="24"/>
          <w:szCs w:val="24"/>
          <w:lang w:eastAsia="pl-PL"/>
        </w:rPr>
        <w:br/>
        <w:t xml:space="preserve"> ( jeżeli dotyczy).</w:t>
      </w:r>
    </w:p>
    <w:p w14:paraId="63179FD4" w14:textId="3B609E92"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62505149" w14:textId="4E5F4E84" w:rsidR="00B8347B" w:rsidRPr="00B8347B" w:rsidRDefault="006E3308" w:rsidP="00B8347B">
      <w:p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z w:val="24"/>
          <w:szCs w:val="24"/>
          <w:lang w:eastAsia="pl-PL"/>
        </w:rPr>
        <w:t>11</w:t>
      </w:r>
      <w:r w:rsidR="00B8347B" w:rsidRPr="00B8347B">
        <w:rPr>
          <w:rFonts w:ascii="Times New Roman" w:eastAsia="Times New Roman" w:hAnsi="Times New Roman" w:cs="Times New Roman"/>
          <w:sz w:val="24"/>
          <w:szCs w:val="24"/>
          <w:lang w:eastAsia="pl-PL"/>
        </w:rPr>
        <w:t>. Płatność faktur nastąpi w terminie do 30 dni od daty doręczenia Zamawiającemu faktur wraz z dokumentami rozliczeniowymi.</w:t>
      </w:r>
    </w:p>
    <w:p w14:paraId="096EAB6A" w14:textId="4E09A141" w:rsidR="00B8347B" w:rsidRPr="00B8347B" w:rsidRDefault="00B8347B" w:rsidP="006E3308">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1</w:t>
      </w:r>
      <w:r w:rsidR="006E3308">
        <w:rPr>
          <w:rFonts w:ascii="Times New Roman" w:eastAsia="Times New Roman" w:hAnsi="Times New Roman" w:cs="Times New Roman"/>
          <w:spacing w:val="-3"/>
          <w:sz w:val="24"/>
          <w:szCs w:val="24"/>
          <w:lang w:eastAsia="pl-PL"/>
        </w:rPr>
        <w:t>2</w:t>
      </w:r>
      <w:r w:rsidRPr="00B8347B">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z w:val="24"/>
          <w:szCs w:val="24"/>
          <w:lang w:eastAsia="pl-PL"/>
        </w:rPr>
        <w:t xml:space="preserve">Zamawiający będzie dokonywał płatności w ramach mechanizmu podzielonej płatności (split payment) zgodnie z art. 108a ustawy z dnia 11 marca 2004 r. o podatku od towarów i usług. </w:t>
      </w:r>
    </w:p>
    <w:p w14:paraId="75B2C311"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13.</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12 powyżej.</w:t>
      </w:r>
    </w:p>
    <w:p w14:paraId="65F260E7"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14.</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Wykonawcy nie spełnia warunku określonego w ust. 13 powyżej, opóźnienie w dokonaniu płatności wskutek braku możliwości realizacji przez Zamawiającego płatności wynagrodzenia z zastosowaniem mechanizmu podzielonej płatności </w:t>
      </w:r>
      <w:r w:rsidRPr="00B8347B">
        <w:rPr>
          <w:rFonts w:ascii="Times New Roman" w:eastAsia="Calibri" w:hAnsi="Times New Roman" w:cs="Times New Roman"/>
          <w:sz w:val="24"/>
          <w:szCs w:val="24"/>
          <w:lang w:eastAsia="pl-PL"/>
        </w:rPr>
        <w:lastRenderedPageBreak/>
        <w:t>w terminie określonym w ust. 9 nie stanowi dla Wykonawcy podstawy do żądania od Zamawiającego jakichkolwiek odsetek, jak również innych rekompensat/odszkodowań z tytułu dokonania nieterminowej płatności.</w:t>
      </w:r>
    </w:p>
    <w:p w14:paraId="1E7C7655"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15.</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Skarbowej, Zamawiający ma prawo do niezapłacenia wynagrodzenia Wykonawcy w terminie wskazanym  w ust. 9 . </w:t>
      </w:r>
    </w:p>
    <w:p w14:paraId="27D44A63" w14:textId="77777777"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16.</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celu powierzenia wykonania części zamówienia podwykonawcy, wykonawca zawiera umowę o podwykonawstwo w rozumieniu art. 7 pkt 27 ustawy Pzp.</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określenie stron, z tym zastrzeżeniem, że w przypadku, gdy zamówienie publiczne zostało udzielone wykonawcom, którzy wspólnie ubiegali się o jego udzielenie (konsorcjum) i wspólnie występują w niniejszej umowie jako wykonawca, umowa o </w:t>
      </w:r>
      <w:r w:rsidRPr="000F64F6">
        <w:rPr>
          <w:rFonts w:ascii="Times New Roman" w:eastAsia="Times New Roman" w:hAnsi="Times New Roman" w:cs="Times New Roman"/>
          <w:sz w:val="24"/>
          <w:szCs w:val="24"/>
          <w:lang w:eastAsia="pl-PL"/>
        </w:rPr>
        <w:lastRenderedPageBreak/>
        <w:t>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w:t>
      </w:r>
      <w:r w:rsidRPr="000F64F6">
        <w:rPr>
          <w:rFonts w:ascii="Times New Roman" w:eastAsia="Times New Roman" w:hAnsi="Times New Roman" w:cs="Times New Roman"/>
          <w:sz w:val="24"/>
          <w:szCs w:val="24"/>
          <w:lang w:eastAsia="pl-PL"/>
        </w:rPr>
        <w:lastRenderedPageBreak/>
        <w:t>roboty budowlane lub który zawarł przedłożoną zamawiającemu umowę o podwykonawstwo, której przedmiotem są dostawy lub usługi, na zasadach określonych w art. 465 ustawy Pzp.</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3" w:name="_Hlk65237601"/>
      <w:r w:rsidRPr="00B8347B">
        <w:rPr>
          <w:rFonts w:ascii="Times New Roman" w:eastAsia="Times New Roman" w:hAnsi="Times New Roman" w:cs="Times New Roman"/>
          <w:sz w:val="24"/>
          <w:szCs w:val="24"/>
          <w:lang w:eastAsia="pl-PL"/>
        </w:rPr>
        <w:t>§</w:t>
      </w:r>
      <w:bookmarkEnd w:id="3"/>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61C03788" w:rsidR="00B8347B"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261F5651" w14:textId="088B593B" w:rsidR="001D10A0" w:rsidRPr="003023A7" w:rsidRDefault="001D10A0" w:rsidP="003023A7">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tytułu braku zapłaty lub nieterminowej zapłaty wynagrodzenia należnego podwykonawcom z tytułu zmiany  wysokości wynagrodzenia o której mowa w art. 439 ust.5 PZP.</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w:t>
      </w:r>
      <w:r w:rsidRPr="00492925">
        <w:rPr>
          <w:rFonts w:ascii="Times New Roman" w:eastAsia="Calibri" w:hAnsi="Times New Roman" w:cs="Times New Roman"/>
          <w:b/>
          <w:bCs/>
          <w:iCs/>
          <w:sz w:val="24"/>
          <w:szCs w:val="24"/>
          <w:u w:val="single"/>
        </w:rPr>
        <w:lastRenderedPageBreak/>
        <w:t xml:space="preserve">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7221D1D0" w14:textId="145D19D9" w:rsidR="002C37A9" w:rsidRPr="002C37A9" w:rsidRDefault="002C37A9"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11"/>
          <w:sz w:val="24"/>
          <w:szCs w:val="24"/>
          <w:lang w:eastAsia="pl-PL"/>
        </w:rPr>
        <w:t xml:space="preserve">Odbiory częściowe odbywają się na podstawie protokołu odbioru elementu robót zatwierdzonego przez Inspektora nadzoru inwestorskiego w zakresie wartości wykonanych robót i zgodności ich wykonania z umową i przepisami. </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lastRenderedPageBreak/>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AD354E">
      <w:pPr>
        <w:tabs>
          <w:tab w:val="left" w:pos="0"/>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57E04DF2"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a) zmiany kluczowego personelu Zamawiającego lub Wykonawcy, w tym zmiana kierownika budowy - spełniającego wymagania zawarte w SWZ po uzgodnieniu z Zamawiającym,</w:t>
      </w:r>
    </w:p>
    <w:p w14:paraId="531B267D"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53A060A0"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4AA7C473"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d) konieczności wprowadzenia robót zamiennych w miejsce wymienionych w dokumentacji projektowej,</w:t>
      </w:r>
    </w:p>
    <w:p w14:paraId="21283FF4"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e)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02A34C1"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0E36A409"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6F23FA">
        <w:rPr>
          <w:rFonts w:ascii="Times New Roman" w:eastAsia="Times New Roman" w:hAnsi="Times New Roman" w:cs="Times New Roman"/>
          <w:sz w:val="24"/>
          <w:szCs w:val="24"/>
          <w:lang w:eastAsia="pl-PL"/>
        </w:rPr>
        <w:t xml:space="preserve">g) </w:t>
      </w:r>
      <w:r w:rsidRPr="006F23FA">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13FB187"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0"/>
          <w:lang w:eastAsia="pl-PL"/>
        </w:rPr>
        <w:t>h) konieczności wykonania robót dodatkowych na skutek sytuacji niemożliwej wcześniej do przewidzenia,</w:t>
      </w:r>
    </w:p>
    <w:p w14:paraId="638A7416"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6F23FA">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6F23FA">
        <w:rPr>
          <w:rFonts w:ascii="Times New Roman" w:eastAsia="Times New Roman" w:hAnsi="Times New Roman" w:cs="Times New Roman"/>
          <w:sz w:val="24"/>
          <w:szCs w:val="20"/>
          <w:lang w:eastAsia="pl-PL"/>
        </w:rPr>
        <w:br/>
        <w:t>i odbioru robót,</w:t>
      </w:r>
    </w:p>
    <w:p w14:paraId="51946D59"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0"/>
          <w:lang w:eastAsia="pl-PL"/>
        </w:rPr>
        <w:lastRenderedPageBreak/>
        <w:t>w przypadku w</w:t>
      </w:r>
      <w:r w:rsidRPr="006F23FA">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6F23FA">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6F23FA">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633C4C0" w14:textId="77777777" w:rsidR="006F23FA" w:rsidRPr="006F23FA" w:rsidRDefault="006F23FA" w:rsidP="006F23FA">
      <w:pPr>
        <w:tabs>
          <w:tab w:val="left" w:pos="284"/>
        </w:tabs>
        <w:spacing w:after="0" w:line="240" w:lineRule="auto"/>
        <w:ind w:left="644"/>
        <w:jc w:val="both"/>
        <w:rPr>
          <w:rFonts w:ascii="Times New Roman" w:eastAsia="Times New Roman" w:hAnsi="Times New Roman" w:cs="Times New Roman"/>
          <w:color w:val="FF0000"/>
          <w:sz w:val="24"/>
          <w:szCs w:val="24"/>
          <w:lang w:eastAsia="pl-PL"/>
        </w:rPr>
      </w:pPr>
      <w:r w:rsidRPr="006F23FA">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4B0FD649"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6F23FA">
        <w:rPr>
          <w:rFonts w:ascii="Times New Roman" w:eastAsia="Times New Roman" w:hAnsi="Times New Roman" w:cs="Times New Roman"/>
          <w:sz w:val="24"/>
          <w:szCs w:val="20"/>
          <w:lang w:eastAsia="pl-PL"/>
        </w:rPr>
        <w:t>dopuszcza się możliwość zmiany wynagrodzenia umownego w przypadku</w:t>
      </w:r>
      <w:r w:rsidRPr="006F23FA">
        <w:rPr>
          <w:rFonts w:ascii="Times New Roman" w:eastAsia="Times New Roman" w:hAnsi="Times New Roman" w:cs="Times New Roman"/>
          <w:spacing w:val="-2"/>
          <w:sz w:val="24"/>
          <w:szCs w:val="20"/>
          <w:lang w:eastAsia="pl-PL"/>
        </w:rPr>
        <w:t xml:space="preserve"> </w:t>
      </w:r>
      <w:r w:rsidRPr="006F23FA">
        <w:rPr>
          <w:rFonts w:ascii="Times New Roman" w:eastAsia="Times New Roman" w:hAnsi="Times New Roman" w:cs="Times New Roman"/>
          <w:sz w:val="24"/>
          <w:szCs w:val="20"/>
          <w:lang w:eastAsia="pl-PL"/>
        </w:rPr>
        <w:t>urzędowej zmiany stawki podatku VAT.</w:t>
      </w:r>
    </w:p>
    <w:p w14:paraId="399C94DF" w14:textId="77777777" w:rsidR="006F23FA" w:rsidRPr="005668E1" w:rsidRDefault="006F23FA" w:rsidP="006F23FA">
      <w:pPr>
        <w:numPr>
          <w:ilvl w:val="0"/>
          <w:numId w:val="35"/>
        </w:numPr>
        <w:tabs>
          <w:tab w:val="left" w:pos="284"/>
        </w:tabs>
        <w:spacing w:after="0" w:line="240" w:lineRule="auto"/>
        <w:rPr>
          <w:rFonts w:ascii="Times New Roman" w:eastAsia="Times New Roman" w:hAnsi="Times New Roman" w:cs="Times New Roman"/>
          <w:strike/>
          <w:spacing w:val="-2"/>
          <w:sz w:val="24"/>
          <w:szCs w:val="20"/>
          <w:lang w:eastAsia="pl-PL"/>
        </w:rPr>
      </w:pPr>
      <w:r w:rsidRPr="005668E1">
        <w:rPr>
          <w:rFonts w:ascii="Times New Roman" w:eastAsia="Times New Roman" w:hAnsi="Times New Roman" w:cs="Times New Roman"/>
          <w:strike/>
          <w:sz w:val="24"/>
          <w:szCs w:val="20"/>
          <w:lang w:eastAsia="pl-PL"/>
        </w:rPr>
        <w:t xml:space="preserve">dopuszcza się możliwość zmiany wynagrodzenia umownego w przypadku zmiany </w:t>
      </w:r>
      <w:r w:rsidRPr="005668E1">
        <w:rPr>
          <w:rFonts w:ascii="Times New Roman" w:eastAsia="Times New Roman" w:hAnsi="Times New Roman" w:cs="Times New Roman"/>
          <w:strike/>
          <w:sz w:val="24"/>
          <w:szCs w:val="24"/>
          <w:lang w:eastAsia="pl-PL"/>
        </w:rPr>
        <w:t>wysokości minimalnego wynagrodzenia za pracę albo wysokości minimalnej stawki godzinowej, ustalonych na podstawie ustawy z dnia 10 października 2002 r. o minimalnym wynagrodzeniu za pracę,</w:t>
      </w:r>
    </w:p>
    <w:p w14:paraId="47080D7F" w14:textId="77777777" w:rsidR="006F23FA" w:rsidRPr="005668E1" w:rsidRDefault="006F23FA" w:rsidP="006F23FA">
      <w:pPr>
        <w:numPr>
          <w:ilvl w:val="0"/>
          <w:numId w:val="35"/>
        </w:numPr>
        <w:tabs>
          <w:tab w:val="left" w:pos="284"/>
        </w:tabs>
        <w:spacing w:after="0" w:line="240" w:lineRule="auto"/>
        <w:rPr>
          <w:rFonts w:ascii="Times New Roman" w:eastAsia="Times New Roman" w:hAnsi="Times New Roman" w:cs="Times New Roman"/>
          <w:strike/>
          <w:spacing w:val="-2"/>
          <w:sz w:val="24"/>
          <w:szCs w:val="20"/>
          <w:lang w:eastAsia="pl-PL"/>
        </w:rPr>
      </w:pPr>
      <w:r w:rsidRPr="005668E1">
        <w:rPr>
          <w:rFonts w:ascii="Times New Roman" w:eastAsia="Times New Roman" w:hAnsi="Times New Roman" w:cs="Times New Roman"/>
          <w:strike/>
          <w:sz w:val="24"/>
          <w:szCs w:val="20"/>
          <w:lang w:eastAsia="pl-PL"/>
        </w:rPr>
        <w:t xml:space="preserve">dopuszcza się możliwość zmiany wynagrodzenia umownego w przypadku zmiany </w:t>
      </w:r>
      <w:r w:rsidRPr="005668E1">
        <w:rPr>
          <w:rFonts w:ascii="Times New Roman" w:eastAsia="Times New Roman" w:hAnsi="Times New Roman" w:cs="Times New Roman"/>
          <w:strike/>
          <w:sz w:val="24"/>
          <w:szCs w:val="24"/>
          <w:lang w:eastAsia="pl-PL"/>
        </w:rPr>
        <w:t>zasad podlegania ubezpieczeniom społecznym lub ubezpieczeniu zdrowotnemu lub wysokości stawki składki na ubezpieczenia społeczne lub ubezpieczenie zdrowotne,</w:t>
      </w:r>
    </w:p>
    <w:p w14:paraId="1AFA9CDA" w14:textId="77777777" w:rsidR="006F23FA" w:rsidRPr="006F23FA" w:rsidRDefault="006F23FA" w:rsidP="006F23FA">
      <w:pPr>
        <w:numPr>
          <w:ilvl w:val="0"/>
          <w:numId w:val="35"/>
        </w:numPr>
        <w:tabs>
          <w:tab w:val="left" w:pos="284"/>
        </w:tabs>
        <w:spacing w:after="0" w:line="240" w:lineRule="auto"/>
        <w:rPr>
          <w:rFonts w:ascii="Times New Roman" w:eastAsia="Times New Roman" w:hAnsi="Times New Roman" w:cs="Times New Roman"/>
          <w:spacing w:val="-2"/>
          <w:sz w:val="24"/>
          <w:szCs w:val="20"/>
          <w:lang w:eastAsia="pl-PL"/>
        </w:rPr>
      </w:pPr>
      <w:r w:rsidRPr="005668E1">
        <w:rPr>
          <w:rFonts w:ascii="Times New Roman" w:eastAsia="Times New Roman" w:hAnsi="Times New Roman" w:cs="Times New Roman"/>
          <w:strike/>
          <w:sz w:val="24"/>
          <w:szCs w:val="20"/>
          <w:lang w:eastAsia="pl-PL"/>
        </w:rPr>
        <w:t xml:space="preserve">dopuszcza się możliwość zmiany wynagrodzenia umownego w przypadku zmiany </w:t>
      </w:r>
      <w:r w:rsidRPr="005668E1">
        <w:rPr>
          <w:rFonts w:ascii="Times New Roman" w:eastAsia="Times New Roman" w:hAnsi="Times New Roman" w:cs="Times New Roman"/>
          <w:strike/>
          <w:sz w:val="24"/>
          <w:szCs w:val="24"/>
          <w:lang w:eastAsia="pl-PL"/>
        </w:rPr>
        <w:t>zasad gromadzenia i wysokości wpłat do pracowniczych planów kapitałowych, o których mowa w ustawie z dnia 4 października 2018 r. o pracowniczych planach kapitałowych (Dz. U. z 2020 r. poz. 1342)</w:t>
      </w:r>
      <w:r w:rsidRPr="005668E1">
        <w:rPr>
          <w:rFonts w:ascii="Times New Roman" w:eastAsia="Times New Roman" w:hAnsi="Times New Roman" w:cs="Times New Roman"/>
          <w:strike/>
          <w:sz w:val="24"/>
          <w:szCs w:val="24"/>
          <w:lang w:eastAsia="pl-PL"/>
        </w:rPr>
        <w:br/>
      </w:r>
      <w:r w:rsidRPr="006F23FA">
        <w:rPr>
          <w:rFonts w:ascii="Times New Roman" w:eastAsia="Times New Roman" w:hAnsi="Times New Roman" w:cs="Times New Roman"/>
          <w:sz w:val="24"/>
          <w:szCs w:val="24"/>
          <w:lang w:eastAsia="pl-PL"/>
        </w:rPr>
        <w:t>‒ jeżeli zmiany te będą miały wpływ na koszty wykonania zamówienia przez wykonawcę.</w:t>
      </w:r>
    </w:p>
    <w:p w14:paraId="1B601743" w14:textId="77777777" w:rsidR="006F23FA" w:rsidRPr="006F23FA" w:rsidRDefault="006F23FA" w:rsidP="006F23FA">
      <w:pPr>
        <w:tabs>
          <w:tab w:val="left" w:pos="284"/>
        </w:tabs>
        <w:spacing w:after="0" w:line="240" w:lineRule="auto"/>
        <w:jc w:val="both"/>
        <w:rPr>
          <w:rFonts w:ascii="Times New Roman" w:eastAsia="Times New Roman" w:hAnsi="Times New Roman" w:cs="Times New Roman"/>
          <w:sz w:val="24"/>
          <w:szCs w:val="24"/>
          <w:lang w:eastAsia="pl-PL"/>
        </w:rPr>
      </w:pPr>
    </w:p>
    <w:p w14:paraId="5069246E" w14:textId="77F18578" w:rsidR="006F23FA" w:rsidRPr="005668E1" w:rsidRDefault="00F41EB2" w:rsidP="006F23FA">
      <w:pPr>
        <w:spacing w:after="0" w:line="240"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bCs/>
          <w:sz w:val="24"/>
          <w:szCs w:val="24"/>
          <w:lang w:eastAsia="pl-PL"/>
        </w:rPr>
        <w:t>2.</w:t>
      </w:r>
      <w:r w:rsidR="006F23FA" w:rsidRPr="006F23FA">
        <w:rPr>
          <w:rFonts w:ascii="Times New Roman" w:eastAsia="Times New Roman" w:hAnsi="Times New Roman" w:cs="Times New Roman"/>
          <w:bCs/>
          <w:sz w:val="24"/>
          <w:szCs w:val="24"/>
          <w:lang w:eastAsia="pl-PL"/>
        </w:rPr>
        <w:t xml:space="preserve"> </w:t>
      </w:r>
      <w:r w:rsidR="006F23FA" w:rsidRPr="005668E1">
        <w:rPr>
          <w:rFonts w:ascii="Times New Roman" w:eastAsia="Times New Roman" w:hAnsi="Times New Roman" w:cs="Times New Roman"/>
          <w:strike/>
          <w:sz w:val="24"/>
          <w:szCs w:val="24"/>
          <w:lang w:eastAsia="pl-PL"/>
        </w:rPr>
        <w:t xml:space="preserve">Zmiana wysokości wynagrodzenia w przypadku zaistnienia przesłanki, o której mowa w pkt </w:t>
      </w:r>
      <w:r w:rsidRPr="005668E1">
        <w:rPr>
          <w:rFonts w:ascii="Times New Roman" w:eastAsia="Times New Roman" w:hAnsi="Times New Roman" w:cs="Times New Roman"/>
          <w:strike/>
          <w:sz w:val="24"/>
          <w:szCs w:val="24"/>
          <w:lang w:eastAsia="pl-PL"/>
        </w:rPr>
        <w:t>1</w:t>
      </w:r>
      <w:r w:rsidR="006F23FA" w:rsidRPr="005668E1">
        <w:rPr>
          <w:rFonts w:ascii="Times New Roman" w:eastAsia="Times New Roman" w:hAnsi="Times New Roman" w:cs="Times New Roman"/>
          <w:strike/>
          <w:sz w:val="24"/>
          <w:szCs w:val="24"/>
          <w:lang w:eastAsia="pl-PL"/>
        </w:rPr>
        <w:t xml:space="preserve"> lit. l i m)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 przypadku tej zmiany,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w:t>
      </w:r>
      <w:r w:rsidR="006F23FA" w:rsidRPr="005668E1">
        <w:rPr>
          <w:rFonts w:ascii="Times New Roman" w:eastAsia="Times New Roman" w:hAnsi="Times New Roman" w:cs="Times New Roman"/>
          <w:strike/>
          <w:sz w:val="24"/>
          <w:szCs w:val="24"/>
          <w:lang w:eastAsia="pl-PL"/>
        </w:rPr>
        <w:lastRenderedPageBreak/>
        <w:t xml:space="preserve">poprzedzającym, odpowiadającej zakresowi, w jakim wykonują oni prace bezpośrednio związane z realizacją przedmiotu umowy. </w:t>
      </w:r>
    </w:p>
    <w:p w14:paraId="6CA7678D" w14:textId="77777777" w:rsidR="006F23FA" w:rsidRPr="005668E1" w:rsidRDefault="006F23FA" w:rsidP="006F23FA">
      <w:pPr>
        <w:spacing w:after="0" w:line="240" w:lineRule="auto"/>
        <w:jc w:val="both"/>
        <w:rPr>
          <w:rFonts w:ascii="Times New Roman" w:eastAsia="Times New Roman" w:hAnsi="Times New Roman" w:cs="Times New Roman"/>
          <w:strike/>
          <w:sz w:val="24"/>
          <w:szCs w:val="24"/>
          <w:lang w:eastAsia="pl-PL"/>
        </w:rPr>
      </w:pPr>
      <w:r w:rsidRPr="005668E1">
        <w:rPr>
          <w:rFonts w:ascii="Times New Roman" w:eastAsia="Times New Roman" w:hAnsi="Times New Roman" w:cs="Times New Roman"/>
          <w:strike/>
          <w:sz w:val="24"/>
          <w:szCs w:val="24"/>
          <w:lang w:eastAsia="pl-PL"/>
        </w:rPr>
        <w:t>Wzrost minimalnego wynagrodzenia i składek odprowadzanych na ZUS będzie dokonywany tylko w stosunku do osób zgłoszonych Zamawiającemu i będzie odnosił się do osób których wynagrodzenie będzie mniejsze od kwoty minimalnego wynagrodzenia. Na rok 2022 należy uwzględnić w zaoferowanej cenie kwotę minimalnego wynagrodzenia gdyż jest znana.</w:t>
      </w:r>
    </w:p>
    <w:p w14:paraId="6D3C7306" w14:textId="6BD68B3C" w:rsidR="006F23FA" w:rsidRPr="005668E1" w:rsidRDefault="006F23FA" w:rsidP="006F23FA">
      <w:pPr>
        <w:spacing w:after="0" w:line="240" w:lineRule="auto"/>
        <w:jc w:val="both"/>
        <w:rPr>
          <w:rFonts w:ascii="Times New Roman" w:eastAsia="Times New Roman" w:hAnsi="Times New Roman" w:cs="Times New Roman"/>
          <w:strike/>
          <w:sz w:val="24"/>
          <w:szCs w:val="24"/>
          <w:lang w:eastAsia="pl-PL"/>
        </w:rPr>
      </w:pPr>
      <w:r w:rsidRPr="005668E1">
        <w:rPr>
          <w:rFonts w:ascii="Times New Roman" w:eastAsia="Times New Roman" w:hAnsi="Times New Roman" w:cs="Times New Roman"/>
          <w:strike/>
          <w:sz w:val="24"/>
          <w:szCs w:val="24"/>
          <w:lang w:eastAsia="pl-PL"/>
        </w:rPr>
        <w:t xml:space="preserve">3. W przypadku zmiany, o której mowa w pkt </w:t>
      </w:r>
      <w:r w:rsidR="00F41EB2" w:rsidRPr="005668E1">
        <w:rPr>
          <w:rFonts w:ascii="Times New Roman" w:eastAsia="Times New Roman" w:hAnsi="Times New Roman" w:cs="Times New Roman"/>
          <w:strike/>
          <w:sz w:val="24"/>
          <w:szCs w:val="24"/>
          <w:lang w:eastAsia="pl-PL"/>
        </w:rPr>
        <w:t>1</w:t>
      </w:r>
      <w:r w:rsidRPr="005668E1">
        <w:rPr>
          <w:rFonts w:ascii="Times New Roman" w:eastAsia="Times New Roman" w:hAnsi="Times New Roman" w:cs="Times New Roman"/>
          <w:strike/>
          <w:sz w:val="24"/>
          <w:szCs w:val="24"/>
          <w:lang w:eastAsia="pl-PL"/>
        </w:rPr>
        <w:t xml:space="preserve"> lit. m)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3158F1C" w14:textId="3F07D5D5" w:rsidR="006F23FA" w:rsidRPr="005668E1" w:rsidRDefault="00F41EB2" w:rsidP="006F23FA">
      <w:pPr>
        <w:spacing w:after="0" w:line="240" w:lineRule="auto"/>
        <w:jc w:val="both"/>
        <w:rPr>
          <w:rFonts w:ascii="Times New Roman" w:eastAsia="Times New Roman" w:hAnsi="Times New Roman" w:cs="Times New Roman"/>
          <w:strike/>
          <w:sz w:val="24"/>
          <w:szCs w:val="24"/>
          <w:lang w:eastAsia="pl-PL"/>
        </w:rPr>
      </w:pPr>
      <w:r w:rsidRPr="005668E1">
        <w:rPr>
          <w:rFonts w:ascii="Times New Roman" w:eastAsia="Times New Roman" w:hAnsi="Times New Roman" w:cs="Times New Roman"/>
          <w:strike/>
          <w:sz w:val="24"/>
          <w:szCs w:val="24"/>
          <w:lang w:eastAsia="pl-PL"/>
        </w:rPr>
        <w:t>4.</w:t>
      </w:r>
      <w:r w:rsidR="006F23FA" w:rsidRPr="005668E1">
        <w:rPr>
          <w:rFonts w:ascii="Times New Roman" w:eastAsia="Times New Roman" w:hAnsi="Times New Roman" w:cs="Times New Roman"/>
          <w:strike/>
          <w:sz w:val="24"/>
          <w:szCs w:val="24"/>
          <w:lang w:eastAsia="pl-PL"/>
        </w:rPr>
        <w:t xml:space="preserve"> W przypadku wystąpienia okoliczności o których mowa w pkt. </w:t>
      </w:r>
      <w:r w:rsidRPr="005668E1">
        <w:rPr>
          <w:rFonts w:ascii="Times New Roman" w:eastAsia="Times New Roman" w:hAnsi="Times New Roman" w:cs="Times New Roman"/>
          <w:strike/>
          <w:sz w:val="24"/>
          <w:szCs w:val="24"/>
          <w:lang w:eastAsia="pl-PL"/>
        </w:rPr>
        <w:t>1</w:t>
      </w:r>
      <w:r w:rsidR="006F23FA" w:rsidRPr="005668E1">
        <w:rPr>
          <w:rFonts w:ascii="Times New Roman" w:eastAsia="Times New Roman" w:hAnsi="Times New Roman" w:cs="Times New Roman"/>
          <w:strike/>
          <w:sz w:val="24"/>
          <w:szCs w:val="24"/>
          <w:lang w:eastAsia="pl-PL"/>
        </w:rPr>
        <w:t xml:space="preserve"> lit. n) powyżej Wykonawca może zwrócić się do Zamawiającego z pisemnym wnioskiem o przeprowadzenie negocjacji dotyczących zawarcia porozumienia w sprawie odpowiedniej zmiany wynagrodzenia, tj. po zawarciu przez Wykonawcę umowy o prowadzenie PPK w imieniu i na rzecz osoby będącej osobą zatrudnioną i wykonującą przedmiot Umowy przez Wykonawcę w okresie jej trwania. Wniosek powinien zawierać wyczerpujące uzasadnienie faktyczne i prawne oraz dokładne wyliczenie ponoszonych przez Wykonawcę kosztów po zmianie Umowy w szczególności Wykonawca będzie zobowiązany wykazać związek pomiędzy wnioskowaną kwotą podwyższenia wynagrodzenia umownego a wpływem zmiany zasad, o których mowa w pkt. 3 lit. n) powyżej, na kalkulację ponoszonych kosztów. Wniosek powinien obejmować jedynie te dodatkowe koszty realizacji zamówienia, które Wykonawca obowiązkowo ponosi w związku ze zmianą zasad, o których mowa w pkt </w:t>
      </w:r>
      <w:r w:rsidRPr="005668E1">
        <w:rPr>
          <w:rFonts w:ascii="Times New Roman" w:eastAsia="Times New Roman" w:hAnsi="Times New Roman" w:cs="Times New Roman"/>
          <w:strike/>
          <w:sz w:val="24"/>
          <w:szCs w:val="24"/>
          <w:lang w:eastAsia="pl-PL"/>
        </w:rPr>
        <w:t>1</w:t>
      </w:r>
      <w:r w:rsidR="006F23FA" w:rsidRPr="005668E1">
        <w:rPr>
          <w:rFonts w:ascii="Times New Roman" w:eastAsia="Times New Roman" w:hAnsi="Times New Roman" w:cs="Times New Roman"/>
          <w:strike/>
          <w:sz w:val="24"/>
          <w:szCs w:val="24"/>
          <w:lang w:eastAsia="pl-PL"/>
        </w:rPr>
        <w:t xml:space="preserve">  lit. n) powyżej.</w:t>
      </w:r>
    </w:p>
    <w:p w14:paraId="2D200E99" w14:textId="00B76937" w:rsidR="006F23FA" w:rsidRPr="006F23FA" w:rsidRDefault="006F23FA" w:rsidP="006F23FA">
      <w:pPr>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br/>
      </w:r>
      <w:r w:rsidR="00F41EB2">
        <w:rPr>
          <w:rFonts w:ascii="Times New Roman" w:eastAsia="Times New Roman" w:hAnsi="Times New Roman" w:cs="Times New Roman"/>
          <w:sz w:val="24"/>
          <w:szCs w:val="24"/>
          <w:lang w:eastAsia="pl-PL"/>
        </w:rPr>
        <w:t>5.</w:t>
      </w:r>
      <w:r w:rsidRPr="006F23FA">
        <w:rPr>
          <w:rFonts w:ascii="Times New Roman" w:eastAsia="Times New Roman" w:hAnsi="Times New Roman" w:cs="Times New Roman"/>
          <w:sz w:val="24"/>
          <w:szCs w:val="24"/>
          <w:lang w:eastAsia="pl-PL"/>
        </w:rPr>
        <w:t xml:space="preserve">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Jeżeli z wnioskiem występuje Wykonawca, jest on zobowiązany dołączyć do wniosku dokumenty, z których będzie wynikać, w jakim zakresie zmiany te mają wpływ na koszty wykonania umowy, w szczególności:</w:t>
      </w:r>
    </w:p>
    <w:p w14:paraId="41DCCCDD" w14:textId="5D59B46D" w:rsidR="006F23FA" w:rsidRPr="006F23FA" w:rsidRDefault="006F23FA" w:rsidP="006F23FA">
      <w:pPr>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pkt.</w:t>
      </w:r>
      <w:r w:rsidR="00F41EB2">
        <w:rPr>
          <w:rFonts w:ascii="Times New Roman" w:eastAsia="Times New Roman" w:hAnsi="Times New Roman" w:cs="Times New Roman"/>
          <w:sz w:val="24"/>
          <w:szCs w:val="24"/>
          <w:lang w:eastAsia="pl-PL"/>
        </w:rPr>
        <w:t>1</w:t>
      </w:r>
      <w:r w:rsidRPr="006F23FA">
        <w:rPr>
          <w:rFonts w:ascii="Times New Roman" w:eastAsia="Times New Roman" w:hAnsi="Times New Roman" w:cs="Times New Roman"/>
          <w:sz w:val="24"/>
          <w:szCs w:val="24"/>
          <w:lang w:eastAsia="pl-PL"/>
        </w:rPr>
        <w:t xml:space="preserve"> lit. l) lub </w:t>
      </w:r>
    </w:p>
    <w:p w14:paraId="4EAC067D" w14:textId="1C0265E1" w:rsidR="006F23FA" w:rsidRPr="006F23FA" w:rsidRDefault="006F23FA" w:rsidP="006F23FA">
      <w:pPr>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 xml:space="preserve">b)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pkt </w:t>
      </w:r>
      <w:r w:rsidR="00F41EB2">
        <w:rPr>
          <w:rFonts w:ascii="Times New Roman" w:eastAsia="Times New Roman" w:hAnsi="Times New Roman" w:cs="Times New Roman"/>
          <w:sz w:val="24"/>
          <w:szCs w:val="24"/>
          <w:lang w:eastAsia="pl-PL"/>
        </w:rPr>
        <w:t>1</w:t>
      </w:r>
      <w:r w:rsidRPr="006F23FA">
        <w:rPr>
          <w:rFonts w:ascii="Times New Roman" w:eastAsia="Times New Roman" w:hAnsi="Times New Roman" w:cs="Times New Roman"/>
          <w:sz w:val="24"/>
          <w:szCs w:val="24"/>
          <w:lang w:eastAsia="pl-PL"/>
        </w:rPr>
        <w:t xml:space="preserve"> lit. m).</w:t>
      </w:r>
    </w:p>
    <w:p w14:paraId="3881B8D6" w14:textId="77777777" w:rsidR="006F23FA" w:rsidRPr="006F23FA" w:rsidRDefault="006F23FA" w:rsidP="006F23FA">
      <w:pPr>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Jeżeli z wnioskiem występuje Zamawiający, jest on uprawniony do zobowiązania Wykonawcy do przedstawienia w wyznaczonym terminie, nie krótszym niż 5 dni roboczych, dokumentów, z których będzie wynikać w jakim zakresie zmiana ta ma wpływ na koszty wykonania umowy, w tym pisemnego zestawienia wynagrodzeń, o którym mowa powyżej.</w:t>
      </w:r>
    </w:p>
    <w:p w14:paraId="639CB1E5" w14:textId="546E0930" w:rsidR="006F23FA" w:rsidRPr="006F23FA" w:rsidRDefault="00F41EB2" w:rsidP="006F23F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6F23FA" w:rsidRPr="006F23FA">
        <w:rPr>
          <w:rFonts w:ascii="Times New Roman" w:eastAsia="Times New Roman" w:hAnsi="Times New Roman" w:cs="Times New Roman"/>
          <w:sz w:val="24"/>
          <w:szCs w:val="24"/>
          <w:lang w:eastAsia="pl-PL"/>
        </w:rPr>
        <w:t xml:space="preserve"> W terminie 5 dni roboczych od dnia przekazania wniosku, o którym mowa powyżej, Strona, która otrzymała wniosek, przekaże drugiej Stronie informację o zakresie, w jakim zatwierdza </w:t>
      </w:r>
      <w:r w:rsidR="006F23FA" w:rsidRPr="006F23FA">
        <w:rPr>
          <w:rFonts w:ascii="Times New Roman" w:eastAsia="Times New Roman" w:hAnsi="Times New Roman" w:cs="Times New Roman"/>
          <w:sz w:val="24"/>
          <w:szCs w:val="24"/>
          <w:lang w:eastAsia="pl-PL"/>
        </w:rPr>
        <w:lastRenderedPageBreak/>
        <w:t>wniosek oraz wskaże kwotę, o którą wynagrodzenie należne Wykonawcy powinno ulec zmianie, albo informację o niezatwierdzeniu wniosku wraz z uzasadnieniem. W przypadku otrzymania przez Stronę informacji o niezatwierdzeniu wniosku lub częściowym zatwierdzeniu wniosku, Strona ta może ponownie wystąpić z wnioskiem, o którym mowa powyżej. W takim przypadku powyższe zapisy stosuje się odpowiednio.</w:t>
      </w:r>
    </w:p>
    <w:p w14:paraId="0D619B53" w14:textId="77777777" w:rsidR="006F23FA" w:rsidRPr="006F23FA" w:rsidRDefault="006F23FA" w:rsidP="006F23FA">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667E85A8" w14:textId="463AF41A" w:rsidR="006F23FA" w:rsidRPr="006F23FA" w:rsidRDefault="00F41EB2" w:rsidP="00F41E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6F23FA" w:rsidRPr="006F23FA">
        <w:rPr>
          <w:rFonts w:ascii="Times New Roman" w:eastAsia="Times New Roman" w:hAnsi="Times New Roman" w:cs="Times New Roman"/>
          <w:sz w:val="24"/>
          <w:szCs w:val="24"/>
          <w:lang w:eastAsia="pl-PL"/>
        </w:rPr>
        <w:t>Wskazane powyżej zmiany mogą być wprowadzone, jedynie w przypadku jeżeli obydwie strony</w:t>
      </w:r>
      <w:r w:rsidR="006F23FA">
        <w:rPr>
          <w:rFonts w:ascii="Times New Roman" w:eastAsia="Times New Roman" w:hAnsi="Times New Roman" w:cs="Times New Roman"/>
          <w:sz w:val="24"/>
          <w:szCs w:val="24"/>
          <w:lang w:eastAsia="pl-PL"/>
        </w:rPr>
        <w:t xml:space="preserve"> </w:t>
      </w:r>
      <w:r w:rsidR="006F23FA" w:rsidRPr="006F23FA">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1303D1C9" w14:textId="77777777" w:rsidR="006F23FA" w:rsidRPr="002C37A9" w:rsidRDefault="006F23FA" w:rsidP="006F23FA">
      <w:pPr>
        <w:tabs>
          <w:tab w:val="left" w:pos="284"/>
        </w:tabs>
        <w:spacing w:after="0" w:line="240" w:lineRule="auto"/>
        <w:ind w:left="644"/>
        <w:jc w:val="both"/>
        <w:rPr>
          <w:rFonts w:ascii="Times New Roman" w:eastAsia="Times New Roman" w:hAnsi="Times New Roman" w:cs="Times New Roman"/>
          <w:spacing w:val="-2"/>
          <w:sz w:val="24"/>
          <w:szCs w:val="20"/>
          <w:lang w:eastAsia="pl-PL"/>
        </w:rPr>
      </w:pP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5B7DB1A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1A18F3D7" w:rsid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A4F2E89" w14:textId="77777777" w:rsidR="00E5177C" w:rsidRPr="00B8347B" w:rsidRDefault="00E5177C"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09ABEEC5" w14:textId="77777777" w:rsidR="00E5177C"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304FF9B6" w14:textId="5AB916C8"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C088" w14:textId="77777777" w:rsidR="008B4AAD" w:rsidRDefault="008B4AAD" w:rsidP="009C0CA3">
      <w:pPr>
        <w:spacing w:after="0" w:line="240" w:lineRule="auto"/>
      </w:pPr>
      <w:r>
        <w:separator/>
      </w:r>
    </w:p>
  </w:endnote>
  <w:endnote w:type="continuationSeparator" w:id="0">
    <w:p w14:paraId="0E4F8326" w14:textId="77777777" w:rsidR="008B4AAD" w:rsidRDefault="008B4AAD"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7295" w14:textId="77777777" w:rsidR="008B4AAD" w:rsidRDefault="008B4AAD" w:rsidP="009C0CA3">
      <w:pPr>
        <w:spacing w:after="0" w:line="240" w:lineRule="auto"/>
      </w:pPr>
      <w:r>
        <w:separator/>
      </w:r>
    </w:p>
  </w:footnote>
  <w:footnote w:type="continuationSeparator" w:id="0">
    <w:p w14:paraId="327BCA2F" w14:textId="77777777" w:rsidR="008B4AAD" w:rsidRDefault="008B4AAD"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6" w:type="pct"/>
      <w:shd w:val="clear" w:color="auto" w:fill="FFFFFF"/>
      <w:tblCellMar>
        <w:left w:w="57" w:type="dxa"/>
        <w:right w:w="57" w:type="dxa"/>
      </w:tblCellMar>
      <w:tblLook w:val="04A0" w:firstRow="1" w:lastRow="0" w:firstColumn="1" w:lastColumn="0" w:noHBand="0" w:noVBand="1"/>
    </w:tblPr>
    <w:tblGrid>
      <w:gridCol w:w="2533"/>
      <w:gridCol w:w="3323"/>
      <w:gridCol w:w="3299"/>
    </w:tblGrid>
    <w:tr w:rsidR="009E7305" w:rsidRPr="009E7305" w14:paraId="2381627B" w14:textId="77777777" w:rsidTr="00BF1F10">
      <w:tc>
        <w:tcPr>
          <w:tcW w:w="1383" w:type="pct"/>
          <w:shd w:val="clear" w:color="auto" w:fill="FFFFFF"/>
        </w:tcPr>
        <w:p w14:paraId="10B6F6AD" w14:textId="55FFBBAE" w:rsidR="009E7305" w:rsidRPr="009E7305" w:rsidRDefault="009E7305" w:rsidP="009E7305">
          <w:pPr>
            <w:spacing w:after="0" w:line="240" w:lineRule="auto"/>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52B5FF8A" wp14:editId="5C5C24E1">
                <wp:extent cx="1294765" cy="548640"/>
                <wp:effectExtent l="0" t="0" r="635"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548640"/>
                        </a:xfrm>
                        <a:prstGeom prst="rect">
                          <a:avLst/>
                        </a:prstGeom>
                        <a:noFill/>
                        <a:ln>
                          <a:noFill/>
                        </a:ln>
                      </pic:spPr>
                    </pic:pic>
                  </a:graphicData>
                </a:graphic>
              </wp:inline>
            </w:drawing>
          </w:r>
        </w:p>
      </w:tc>
      <w:tc>
        <w:tcPr>
          <w:tcW w:w="1815" w:type="pct"/>
          <w:shd w:val="clear" w:color="auto" w:fill="FFFFFF"/>
        </w:tcPr>
        <w:p w14:paraId="5621F93A" w14:textId="7697B7FC" w:rsidR="009E7305" w:rsidRPr="009E7305" w:rsidRDefault="009E7305" w:rsidP="009E7305">
          <w:pPr>
            <w:spacing w:after="0" w:line="240" w:lineRule="auto"/>
            <w:ind w:left="-58" w:right="130"/>
            <w:jc w:val="center"/>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2B19249B" wp14:editId="2CA2A4C4">
                <wp:extent cx="1207135" cy="5486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548640"/>
                        </a:xfrm>
                        <a:prstGeom prst="rect">
                          <a:avLst/>
                        </a:prstGeom>
                        <a:noFill/>
                        <a:ln>
                          <a:noFill/>
                        </a:ln>
                      </pic:spPr>
                    </pic:pic>
                  </a:graphicData>
                </a:graphic>
              </wp:inline>
            </w:drawing>
          </w:r>
        </w:p>
      </w:tc>
      <w:tc>
        <w:tcPr>
          <w:tcW w:w="1802" w:type="pct"/>
          <w:shd w:val="clear" w:color="auto" w:fill="FFFFFF"/>
        </w:tcPr>
        <w:p w14:paraId="7063109E" w14:textId="073C3B09" w:rsidR="009E7305" w:rsidRPr="009E7305" w:rsidRDefault="009E7305" w:rsidP="009E7305">
          <w:pPr>
            <w:spacing w:after="0" w:line="240" w:lineRule="auto"/>
            <w:jc w:val="right"/>
            <w:rPr>
              <w:rFonts w:ascii="Calibri" w:eastAsia="Times New Roman" w:hAnsi="Calibri" w:cs="Times New Roman"/>
              <w:noProof/>
              <w:szCs w:val="24"/>
              <w:lang w:eastAsia="pl-PL"/>
            </w:rPr>
          </w:pPr>
          <w:r w:rsidRPr="009E7305">
            <w:rPr>
              <w:rFonts w:ascii="Calibri" w:eastAsia="Times New Roman" w:hAnsi="Calibri" w:cs="Times New Roman"/>
              <w:noProof/>
              <w:szCs w:val="24"/>
              <w:lang w:eastAsia="pl-PL"/>
            </w:rPr>
            <w:drawing>
              <wp:inline distT="0" distB="0" distL="0" distR="0" wp14:anchorId="7E9E0F1E" wp14:editId="0F95F748">
                <wp:extent cx="1828800" cy="5486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548640"/>
                        </a:xfrm>
                        <a:prstGeom prst="rect">
                          <a:avLst/>
                        </a:prstGeom>
                        <a:noFill/>
                        <a:ln>
                          <a:noFill/>
                        </a:ln>
                      </pic:spPr>
                    </pic:pic>
                  </a:graphicData>
                </a:graphic>
              </wp:inline>
            </w:drawing>
          </w:r>
        </w:p>
      </w:tc>
    </w:tr>
  </w:tbl>
  <w:p w14:paraId="1745EF17" w14:textId="77777777" w:rsidR="009E7305" w:rsidRDefault="009E73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0"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1"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5EF70EE"/>
    <w:multiLevelType w:val="multilevel"/>
    <w:tmpl w:val="C61831AE"/>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C52BB7"/>
    <w:multiLevelType w:val="hybridMultilevel"/>
    <w:tmpl w:val="AE0C7504"/>
    <w:lvl w:ilvl="0" w:tplc="FFFFFFF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7" w15:restartNumberingAfterBreak="0">
    <w:nsid w:val="31D16C87"/>
    <w:multiLevelType w:val="multilevel"/>
    <w:tmpl w:val="AF000CFA"/>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3"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4"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6"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29"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0"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47A6B52"/>
    <w:multiLevelType w:val="hybridMultilevel"/>
    <w:tmpl w:val="BC7A4D6C"/>
    <w:lvl w:ilvl="0" w:tplc="E75C3D4A">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3"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4" w15:restartNumberingAfterBreak="0">
    <w:nsid w:val="6E115C02"/>
    <w:multiLevelType w:val="hybridMultilevel"/>
    <w:tmpl w:val="3B5216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3B70D04"/>
    <w:multiLevelType w:val="hybridMultilevel"/>
    <w:tmpl w:val="0708F7F8"/>
    <w:lvl w:ilvl="0" w:tplc="6AB66746">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0"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2022119034">
    <w:abstractNumId w:val="13"/>
  </w:num>
  <w:num w:numId="2" w16cid:durableId="962156892">
    <w:abstractNumId w:val="0"/>
  </w:num>
  <w:num w:numId="3" w16cid:durableId="766660937">
    <w:abstractNumId w:val="5"/>
  </w:num>
  <w:num w:numId="4" w16cid:durableId="427697686">
    <w:abstractNumId w:val="3"/>
  </w:num>
  <w:num w:numId="5" w16cid:durableId="4774578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598524">
    <w:abstractNumId w:val="10"/>
    <w:lvlOverride w:ilvl="0">
      <w:startOverride w:val="1"/>
    </w:lvlOverride>
  </w:num>
  <w:num w:numId="7" w16cid:durableId="288170727">
    <w:abstractNumId w:val="10"/>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16cid:durableId="747505390">
    <w:abstractNumId w:val="22"/>
    <w:lvlOverride w:ilvl="0">
      <w:startOverride w:val="1"/>
    </w:lvlOverride>
  </w:num>
  <w:num w:numId="9" w16cid:durableId="139931875">
    <w:abstractNumId w:val="40"/>
    <w:lvlOverride w:ilvl="0">
      <w:startOverride w:val="9"/>
    </w:lvlOverride>
  </w:num>
  <w:num w:numId="10" w16cid:durableId="294458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4771287">
    <w:abstractNumId w:val="19"/>
    <w:lvlOverride w:ilvl="0">
      <w:startOverride w:val="1"/>
    </w:lvlOverride>
  </w:num>
  <w:num w:numId="12" w16cid:durableId="1284117864">
    <w:abstractNumId w:val="18"/>
    <w:lvlOverride w:ilvl="0">
      <w:startOverride w:val="1"/>
    </w:lvlOverride>
  </w:num>
  <w:num w:numId="13" w16cid:durableId="1662344724">
    <w:abstractNumId w:val="33"/>
    <w:lvlOverride w:ilvl="0">
      <w:startOverride w:val="3"/>
    </w:lvlOverride>
  </w:num>
  <w:num w:numId="14" w16cid:durableId="1463960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684125">
    <w:abstractNumId w:val="41"/>
    <w:lvlOverride w:ilvl="0">
      <w:startOverride w:val="1"/>
    </w:lvlOverride>
  </w:num>
  <w:num w:numId="16" w16cid:durableId="499201994">
    <w:abstractNumId w:val="26"/>
    <w:lvlOverride w:ilvl="0">
      <w:startOverride w:val="1"/>
    </w:lvlOverride>
  </w:num>
  <w:num w:numId="17" w16cid:durableId="1354453316">
    <w:abstractNumId w:val="4"/>
    <w:lvlOverride w:ilvl="0">
      <w:startOverride w:val="1"/>
    </w:lvlOverride>
  </w:num>
  <w:num w:numId="18" w16cid:durableId="13344546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91338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225953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872675">
    <w:abstractNumId w:val="24"/>
    <w:lvlOverride w:ilvl="0">
      <w:startOverride w:val="2"/>
    </w:lvlOverride>
  </w:num>
  <w:num w:numId="22" w16cid:durableId="372314378">
    <w:abstractNumId w:val="29"/>
    <w:lvlOverride w:ilvl="0">
      <w:startOverride w:val="1"/>
    </w:lvlOverride>
  </w:num>
  <w:num w:numId="23" w16cid:durableId="1224953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76470">
    <w:abstractNumId w:val="13"/>
    <w:lvlOverride w:ilvl="0">
      <w:startOverride w:val="1"/>
    </w:lvlOverride>
  </w:num>
  <w:num w:numId="25" w16cid:durableId="894775318">
    <w:abstractNumId w:val="31"/>
  </w:num>
  <w:num w:numId="26" w16cid:durableId="2000841318">
    <w:abstractNumId w:val="30"/>
  </w:num>
  <w:num w:numId="27" w16cid:durableId="2142650619">
    <w:abstractNumId w:val="37"/>
  </w:num>
  <w:num w:numId="28" w16cid:durableId="835153805">
    <w:abstractNumId w:val="20"/>
  </w:num>
  <w:num w:numId="29" w16cid:durableId="710767876">
    <w:abstractNumId w:val="16"/>
  </w:num>
  <w:num w:numId="30" w16cid:durableId="614872016">
    <w:abstractNumId w:val="25"/>
  </w:num>
  <w:num w:numId="31" w16cid:durableId="1667899049">
    <w:abstractNumId w:val="23"/>
  </w:num>
  <w:num w:numId="32" w16cid:durableId="1859000432">
    <w:abstractNumId w:val="15"/>
  </w:num>
  <w:num w:numId="33" w16cid:durableId="764808746">
    <w:abstractNumId w:val="21"/>
  </w:num>
  <w:num w:numId="34" w16cid:durableId="661546648">
    <w:abstractNumId w:val="39"/>
  </w:num>
  <w:num w:numId="35" w16cid:durableId="1116607816">
    <w:abstractNumId w:val="27"/>
  </w:num>
  <w:num w:numId="36" w16cid:durableId="1393192917">
    <w:abstractNumId w:val="2"/>
  </w:num>
  <w:num w:numId="37" w16cid:durableId="199637110">
    <w:abstractNumId w:val="38"/>
  </w:num>
  <w:num w:numId="38" w16cid:durableId="2062823772">
    <w:abstractNumId w:val="6"/>
  </w:num>
  <w:num w:numId="39" w16cid:durableId="1920675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9185818">
    <w:abstractNumId w:val="34"/>
  </w:num>
  <w:num w:numId="41" w16cid:durableId="1539782260">
    <w:abstractNumId w:val="35"/>
  </w:num>
  <w:num w:numId="42" w16cid:durableId="542523712">
    <w:abstractNumId w:val="17"/>
  </w:num>
  <w:num w:numId="43" w16cid:durableId="1451783407">
    <w:abstractNumId w:val="12"/>
  </w:num>
  <w:num w:numId="44" w16cid:durableId="340204541">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45091"/>
    <w:rsid w:val="000D0437"/>
    <w:rsid w:val="000F64F6"/>
    <w:rsid w:val="001A3EDC"/>
    <w:rsid w:val="001B400B"/>
    <w:rsid w:val="001D10A0"/>
    <w:rsid w:val="00261C9D"/>
    <w:rsid w:val="002965D9"/>
    <w:rsid w:val="002C37A9"/>
    <w:rsid w:val="003023A7"/>
    <w:rsid w:val="00313F5D"/>
    <w:rsid w:val="00370B39"/>
    <w:rsid w:val="00373D7E"/>
    <w:rsid w:val="003C79BA"/>
    <w:rsid w:val="00492925"/>
    <w:rsid w:val="005668E1"/>
    <w:rsid w:val="00581EC6"/>
    <w:rsid w:val="005C3BFA"/>
    <w:rsid w:val="005C4743"/>
    <w:rsid w:val="00652E0F"/>
    <w:rsid w:val="006A54BB"/>
    <w:rsid w:val="006E3308"/>
    <w:rsid w:val="006F23FA"/>
    <w:rsid w:val="00703898"/>
    <w:rsid w:val="00763C09"/>
    <w:rsid w:val="008149BF"/>
    <w:rsid w:val="008467D2"/>
    <w:rsid w:val="0086220F"/>
    <w:rsid w:val="0087570D"/>
    <w:rsid w:val="00877F83"/>
    <w:rsid w:val="008B4AAD"/>
    <w:rsid w:val="00973DB0"/>
    <w:rsid w:val="009C0CA3"/>
    <w:rsid w:val="009D7160"/>
    <w:rsid w:val="009E7305"/>
    <w:rsid w:val="009F6911"/>
    <w:rsid w:val="00A67481"/>
    <w:rsid w:val="00AD354E"/>
    <w:rsid w:val="00B8347B"/>
    <w:rsid w:val="00D419BB"/>
    <w:rsid w:val="00D615DB"/>
    <w:rsid w:val="00E5177C"/>
    <w:rsid w:val="00EA0055"/>
    <w:rsid w:val="00F1342C"/>
    <w:rsid w:val="00F41EB2"/>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link w:val="AkapitzlistZnak"/>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 w:type="character" w:customStyle="1" w:styleId="AkapitzlistZnak">
    <w:name w:val="Akapit z listą Znak"/>
    <w:basedOn w:val="Domylnaczcionkaakapitu"/>
    <w:link w:val="Akapitzlist"/>
    <w:uiPriority w:val="34"/>
    <w:qFormat/>
    <w:rsid w:val="00F13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15</Pages>
  <Words>6120</Words>
  <Characters>36721</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Renata Kułagowska-Ćwiek</cp:lastModifiedBy>
  <cp:revision>22</cp:revision>
  <cp:lastPrinted>2021-05-06T11:42:00Z</cp:lastPrinted>
  <dcterms:created xsi:type="dcterms:W3CDTF">2021-02-25T13:58:00Z</dcterms:created>
  <dcterms:modified xsi:type="dcterms:W3CDTF">2023-03-15T08:53:00Z</dcterms:modified>
</cp:coreProperties>
</file>