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</w:tabs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2"/>
        <w:gridCol w:w="7009"/>
        <w:gridCol w:w="1261"/>
      </w:tblGrid>
      <w:tr>
        <w:trPr/>
        <w:tc>
          <w:tcPr>
            <w:tcW w:w="78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SPIS  ZAWARTOŚCI  PROJEKTU REMONTU TRYBUNY SPORTOWEJ-PW</w:t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Nr str.</w:t>
            </w:r>
          </w:p>
        </w:tc>
      </w:tr>
      <w:tr>
        <w:trPr/>
        <w:tc>
          <w:tcPr>
            <w:tcW w:w="78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Część opisowa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Przedmiot opracowania</w:t>
              <w:tab/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Istniejąca trybuna 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Układ funkcjonalny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Układ konstrukcyjny obiektu budowlanego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Opis rozwiązań konstrukcyjno-materiałowych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Uwagi</w:t>
              <w:tab/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Zastrzeżenia projektowe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Część rysunkowa do w/w opisu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70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Rzut trybuny - remont</w:t>
            </w:r>
          </w:p>
        </w:tc>
        <w:tc>
          <w:tcPr>
            <w:tcW w:w="1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700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Elewacje trybuny - remont</w:t>
            </w:r>
          </w:p>
        </w:tc>
        <w:tc>
          <w:tcPr>
            <w:tcW w:w="12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mbria" w:hAnsi="Cambri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Cambria" w:hAnsi="Cambri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/>
      </w:pPr>
      <w:r>
        <w:rPr>
          <w:b/>
          <w:bCs/>
          <w:sz w:val="48"/>
          <w:szCs w:val="48"/>
        </w:rPr>
        <w:t>CZĘŚĆ OPISOWA</w:t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  <w:lang w:eastAsia="pl-PL"/>
        </w:rPr>
        <w:t xml:space="preserve">OPIS DO PROJEKTU </w:t>
      </w:r>
      <w:bookmarkStart w:id="0" w:name="_Hlk77663326"/>
      <w:bookmarkEnd w:id="0"/>
      <w:r>
        <w:rPr>
          <w:b/>
          <w:sz w:val="24"/>
          <w:szCs w:val="24"/>
          <w:lang w:eastAsia="pl-PL"/>
        </w:rPr>
        <w:t>REMONTU TRYBUNY SPORTOWEJ</w:t>
      </w:r>
    </w:p>
    <w:p>
      <w:pPr>
        <w:pStyle w:val="Normal"/>
        <w:rPr>
          <w:rFonts w:ascii="Cambria" w:hAnsi="Cambria" w:eastAsia="Batang" w:cs="" w:asciiTheme="majorHAnsi" w:cstheme="majorBidi" w:hAnsiTheme="majorHAns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Batang" w:cs="" w:cstheme="majorBidi"/>
          <w:b/>
          <w:bCs/>
          <w:color w:val="000000"/>
          <w:sz w:val="24"/>
          <w:szCs w:val="24"/>
          <w:lang w:eastAsia="pl-PL"/>
        </w:rPr>
      </w:r>
    </w:p>
    <w:p>
      <w:pPr>
        <w:pStyle w:val="Nagwek1"/>
        <w:keepNext w:val="true"/>
        <w:keepLines/>
        <w:widowControl/>
        <w:numPr>
          <w:ilvl w:val="0"/>
          <w:numId w:val="3"/>
        </w:numPr>
        <w:bidi w:val="0"/>
        <w:spacing w:lineRule="auto" w:line="240" w:before="0" w:after="0"/>
        <w:ind w:left="-170" w:right="0" w:hanging="0"/>
        <w:jc w:val="both"/>
        <w:outlineLvl w:val="0"/>
        <w:rPr>
          <w:rFonts w:ascii="Cambria" w:hAnsi="Cambria" w:eastAsia="Batang" w:cs=""/>
          <w:color w:val="000000"/>
          <w:sz w:val="24"/>
          <w:szCs w:val="24"/>
          <w:lang w:val="pl-PL" w:eastAsia="ar-SA" w:bidi="ar-SA"/>
        </w:rPr>
      </w:pPr>
      <w:bookmarkStart w:id="1" w:name="_Toc532892798"/>
      <w:r>
        <w:rPr>
          <w:rFonts w:eastAsia="Batang" w:cs=""/>
          <w:color w:val="000000"/>
          <w:sz w:val="24"/>
          <w:szCs w:val="24"/>
          <w:lang w:val="pl-PL" w:eastAsia="ar-SA" w:bidi="ar-SA"/>
        </w:rPr>
        <w:t>P</w:t>
      </w:r>
      <w:bookmarkEnd w:id="1"/>
      <w:r>
        <w:rPr>
          <w:rFonts w:eastAsia="Batang" w:cs=""/>
          <w:color w:val="000000"/>
          <w:sz w:val="24"/>
          <w:szCs w:val="24"/>
          <w:lang w:val="pl-PL" w:eastAsia="ar-SA" w:bidi="ar-SA"/>
        </w:rPr>
        <w:t>rzedmiot opracowania ( trybuna sportowa)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eastAsia="Batang"/>
          <w:color w:val="000000"/>
          <w:sz w:val="24"/>
          <w:szCs w:val="24"/>
          <w:lang w:eastAsia="ar-SA"/>
        </w:rPr>
        <w:t xml:space="preserve">Przedmiotem opracowania jest remont trybuny sportowej. Obiekt istniejący  o charakterze widowiskowym dla imprez sportowych tj. trybuny betonowe wykonane w technologii tradycyjnej . </w:t>
      </w:r>
    </w:p>
    <w:p>
      <w:pPr>
        <w:pStyle w:val="Nagwek1"/>
        <w:numPr>
          <w:ilvl w:val="0"/>
          <w:numId w:val="0"/>
        </w:numPr>
        <w:ind w:left="550" w:right="0" w:hanging="0"/>
        <w:rPr>
          <w:rFonts w:eastAsia="Batang"/>
          <w:color w:val="000000"/>
        </w:rPr>
      </w:pPr>
      <w:r>
        <w:rPr>
          <w:rFonts w:eastAsia="Batang"/>
          <w:color w:val="000000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color w:val="000000"/>
          <w:sz w:val="24"/>
          <w:szCs w:val="24"/>
          <w:lang w:eastAsia="ar-SA"/>
        </w:rPr>
        <w:t>Podstawa opracowania projektu budowlanego.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uppressAutoHyphens w:val="true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Umowa z inwestorem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/>
        <w:ind w:left="720" w:hanging="36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Pomiary, oględziny i zdjęcia własne 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Obowiązujące w Polsce regulacje prawne, a w szczególności: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rozporządzenie Ministra Transportu, Budownictwa i Gospodarki Morskiej z dnia 25 kwietnia 2012 r. w sprawie szczegółowego zakresu i formy projektu budowlanego (Dz. U. poz. 462 z późn. zm.)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rozporządzenie Ministra Infrastruktury z dnia 12 kwietnia 2002 r. w sprawie warunków technicznych, jakim powinny odpowiadać budynki i ich usytuowanie (Dz. U. z 2015 r., poz. 1422 z późn. zm.)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rozporządzenie Ministra Infrastruktury z dnia 23 czerwca 2003 r. w sprawie informacji dotyczącej bezpieczeństwa i ochrony zdrowia oraz planu bezpieczeństwa i ochrony zdrowia (Dz. U. Nr 120, poz. 1126)</w:t>
      </w:r>
    </w:p>
    <w:p>
      <w:pPr>
        <w:pStyle w:val="Stopka"/>
        <w:numPr>
          <w:ilvl w:val="1"/>
          <w:numId w:val="7"/>
        </w:numPr>
        <w:tabs>
          <w:tab w:val="left" w:pos="708" w:leader="none"/>
          <w:tab w:val="center" w:pos="4536" w:leader="none"/>
          <w:tab w:val="right" w:pos="9072" w:leader="none"/>
        </w:tabs>
        <w:suppressAutoHyphens w:val="true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Rozporządzenie Ministra Spraw Wewnętrznych i Administracji z dn. 7 czerwca 2010 r. roku w sprawie ochrony p. pożarowe budynków, innych obiektów budowlanych i terenów (Dz. U. Nr 109 poz.719</w:t>
      </w:r>
      <w:r>
        <w:rPr>
          <w:color w:val="000000"/>
          <w:sz w:val="24"/>
          <w:szCs w:val="24"/>
          <w:lang w:eastAsia="ar-SA"/>
        </w:rPr>
        <w:t xml:space="preserve">z późn. zm </w:t>
      </w:r>
      <w:r>
        <w:rPr>
          <w:sz w:val="24"/>
          <w:szCs w:val="24"/>
          <w:lang w:eastAsia="ar-SA"/>
        </w:rPr>
        <w:t>),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Standardy, normy, normatywy i zasady sztuki budowlanej, w tym: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PN-B-01040:1994 – Rysunek konstrukcyjny budowlany. Zasady ogólne,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PN-EN ISO 4157-1 – Rysunek budowlany. Systemy oznaczeń. Część 1: budynki i części budynków,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PN-B-01029 – Rysunek budowlany. Zasady wymiarowania na rysunkach techniczno-budowlanych,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PN-B-01030 – Rysunek budowlany. Oznaczenia graficzne materiałów budowlanych,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PN-ISO 9836 – Właściwości użytkowe w budownictwie. Określanie i obliczanie wskaźników powierzchniowych i kubaturowych,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PN-ISO 6241 – Normy właściwości użytkowych w budownictwie. Zasady ich opracowywania i czynniki, które powinny być uwzględniane,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PN-82/B-02000 - Obciążenie budowli. Zasady ustalania wartości.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PN-82/B-02001 - Obciążenie budowli. Obciążenia stałe.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PN-80/B-02010 - Obciążenia w obliczeniach statycznych. Obciążenie śniegiem.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PN-80/B-02010/Z-01 - Obciążenia w obliczeniach statycznych. Obciążenie śniegiem.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PN-77/B-02011 - Obciążenia w obliczeniach statycznych. Obciążenie wiatrem.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PN-87/B-02013 – Obciążenie budowli. Obciążenia zmienne środowiskowe. Obciążenie oblodzeniem.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PN-90/B-03200 - Konstrukcje stalowe. Obliczenia statyczne i projektowanie.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PN-B-03264: grudzień 2002 – Konstrukcje betonowe, żelbetowe i sprężone. Obliczenia statyczne i projektowanie.</w:t>
      </w:r>
    </w:p>
    <w:p>
      <w:pPr>
        <w:pStyle w:val="Normal"/>
        <w:numPr>
          <w:ilvl w:val="1"/>
          <w:numId w:val="4"/>
        </w:numPr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PN-B-03002: 1999 – Konstrukcje murowe niezbrojone. Projektowanie i obliczanie.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PN-B-03150: 2000 – Konstrukcje drewniane. Obliczenia statyczne i projektowanie.</w:t>
      </w:r>
      <w:r>
        <w:rPr>
          <w:b/>
          <w:sz w:val="24"/>
          <w:szCs w:val="24"/>
        </w:rPr>
        <w:t xml:space="preserve">   </w:t>
      </w:r>
    </w:p>
    <w:p>
      <w:pPr>
        <w:pStyle w:val="Normal"/>
        <w:rPr>
          <w:rFonts w:ascii="Cambria" w:hAnsi="Cambria"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p>
      <w:pPr>
        <w:pStyle w:val="Nagwek1"/>
        <w:numPr>
          <w:ilvl w:val="0"/>
          <w:numId w:val="3"/>
        </w:numPr>
        <w:rPr>
          <w:color w:val="000000"/>
        </w:rPr>
      </w:pPr>
      <w:bookmarkStart w:id="2" w:name="_Toc532892799"/>
      <w:r>
        <w:rPr>
          <w:rFonts w:eastAsia="Batang"/>
          <w:color w:val="000000"/>
          <w:sz w:val="24"/>
          <w:szCs w:val="24"/>
        </w:rPr>
        <w:t>I</w:t>
      </w:r>
      <w:bookmarkEnd w:id="2"/>
      <w:r>
        <w:rPr>
          <w:rFonts w:eastAsia="Batang"/>
          <w:color w:val="000000"/>
          <w:sz w:val="24"/>
          <w:szCs w:val="24"/>
        </w:rPr>
        <w:t>STNIEJĄCA TRYBUNA</w:t>
      </w:r>
    </w:p>
    <w:p>
      <w:pPr>
        <w:pStyle w:val="Normal"/>
        <w:rPr>
          <w:rFonts w:ascii="Cambria" w:hAnsi="Cambria" w:eastAsia="Batang" w:cs="" w:asciiTheme="majorHAnsi" w:cstheme="majorBidi" w:hAnsiTheme="majorHAnsi"/>
          <w:bCs/>
          <w:color w:val="000000"/>
          <w:sz w:val="24"/>
          <w:szCs w:val="24"/>
          <w:lang w:eastAsia="ar-SA"/>
        </w:rPr>
      </w:pPr>
      <w:r>
        <w:rPr>
          <w:rFonts w:eastAsia="Batang" w:cs="" w:cstheme="majorBidi"/>
          <w:bCs/>
          <w:color w:val="000000"/>
          <w:sz w:val="24"/>
          <w:szCs w:val="24"/>
          <w:lang w:eastAsia="ar-SA"/>
        </w:rPr>
      </w:r>
    </w:p>
    <w:p>
      <w:pPr>
        <w:pStyle w:val="Normal"/>
        <w:rPr>
          <w:color w:val="000000"/>
        </w:rPr>
      </w:pPr>
      <w:r>
        <w:rPr>
          <w:rFonts w:asciiTheme="majorHAnsi" w:hAnsiTheme="majorHAnsi"/>
          <w:color w:val="000000"/>
          <w:sz w:val="24"/>
          <w:szCs w:val="24"/>
          <w:lang w:eastAsia="ar-SA"/>
        </w:rPr>
        <w:tab/>
        <w:t xml:space="preserve">Istniejąca trybuna o wym. 115.98m x 6,40m. Obiekt o prostoliniowym wzniesieniu rzędów 0.40m, w stałym miejscu imprez o charakterze widowiskowym, na którym gromadzi się publiczność w celu oglądania wydarzeń sportowych tj. mecze piłki nożnej. Rozstaw rzędów miejsc siedzących 1.00 m. </w:t>
      </w:r>
    </w:p>
    <w:p>
      <w:pPr>
        <w:pStyle w:val="Normal"/>
        <w:rPr>
          <w:rFonts w:ascii="Cambria" w:hAnsi="Cambria" w:asciiTheme="majorHAnsi" w:hAnsiTheme="majorHAnsi"/>
          <w:lang w:eastAsia="ar-SA"/>
        </w:rPr>
      </w:pPr>
      <w:r>
        <w:rPr>
          <w:rFonts w:asciiTheme="majorHAnsi" w:hAnsiTheme="majorHAnsi"/>
          <w:color w:val="000000"/>
          <w:sz w:val="24"/>
          <w:szCs w:val="24"/>
          <w:lang w:eastAsia="ar-SA"/>
        </w:rPr>
        <w:tab/>
      </w:r>
    </w:p>
    <w:p>
      <w:pPr>
        <w:pStyle w:val="Normal"/>
        <w:rPr>
          <w:rFonts w:ascii="Cambria" w:hAnsi="Cambria" w:asciiTheme="majorHAnsi" w:hAnsiTheme="majorHAnsi"/>
          <w:sz w:val="24"/>
          <w:szCs w:val="24"/>
          <w:lang w:eastAsia="ar-SA"/>
        </w:rPr>
      </w:pPr>
      <w:r>
        <w:rPr>
          <w:rFonts w:asciiTheme="majorHAnsi" w:hAnsiTheme="majorHAnsi"/>
          <w:sz w:val="24"/>
          <w:szCs w:val="24"/>
          <w:lang w:eastAsia="ar-SA"/>
        </w:rPr>
      </w:r>
    </w:p>
    <w:p>
      <w:pPr>
        <w:pStyle w:val="Nagwek1"/>
        <w:numPr>
          <w:ilvl w:val="0"/>
          <w:numId w:val="3"/>
        </w:numPr>
        <w:rPr>
          <w:rFonts w:ascii="Cambria" w:hAnsi="Cambria"/>
          <w:sz w:val="24"/>
          <w:szCs w:val="24"/>
        </w:rPr>
      </w:pPr>
      <w:bookmarkStart w:id="3" w:name="_Toc532892800"/>
      <w:bookmarkEnd w:id="3"/>
      <w:r>
        <w:rPr>
          <w:sz w:val="24"/>
          <w:szCs w:val="24"/>
        </w:rPr>
        <w:t>UKŁAD FUNKCJONALNY</w:t>
      </w:r>
    </w:p>
    <w:p>
      <w:pPr>
        <w:pStyle w:val="Normal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rPr>
          <w:lang w:eastAsia="ar-SA"/>
        </w:rPr>
      </w:pPr>
      <w:r>
        <w:rPr>
          <w:sz w:val="24"/>
          <w:szCs w:val="24"/>
          <w:lang w:eastAsia="ar-SA"/>
        </w:rPr>
        <w:tab/>
        <w:t>Przestrzeń widowni z której widzowie oglądają wydarzenie wydzielona na obszary do siedzenia i stania, a także obszary, które bezpośrednio związane są z dojściem.</w:t>
      </w:r>
    </w:p>
    <w:p>
      <w:pPr>
        <w:pStyle w:val="Normal"/>
        <w:rPr>
          <w:lang w:eastAsia="ar-SA"/>
        </w:rPr>
      </w:pPr>
      <w:r>
        <w:rPr>
          <w:sz w:val="24"/>
          <w:szCs w:val="24"/>
          <w:lang w:eastAsia="ar-SA"/>
        </w:rPr>
        <w:tab/>
        <w:t xml:space="preserve">Projektuje się przestrzeń niezbędną do bezpiecznego i niezakłóconego oglądania trwającego wydarzenia. 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ab/>
        <w:t>Obiekt o zróżnicowanym wzniesieniu dla szeregu miejsc podobnych, 4 rzędów od +0.00 do+1.60 m,  przeznaczonych dla widzów.</w:t>
      </w:r>
    </w:p>
    <w:p>
      <w:pPr>
        <w:pStyle w:val="Normal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jc w:val="left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Ogólna liczba widzów, dla remontowanej trybuny:</w:t>
      </w:r>
    </w:p>
    <w:p>
      <w:pPr>
        <w:pStyle w:val="Normal"/>
        <w:jc w:val="left"/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>- Liczba miejsc siedzących wynosi 700 szt. w tym 72 miejsca VIP  umieszczone w dwóch górnych rzędach środkowego sektoru.</w:t>
      </w:r>
    </w:p>
    <w:p>
      <w:pPr>
        <w:pStyle w:val="Nagwek1"/>
        <w:numPr>
          <w:ilvl w:val="0"/>
          <w:numId w:val="0"/>
        </w:numPr>
        <w:ind w:left="-170" w:right="0" w:hanging="0"/>
        <w:rPr>
          <w:rFonts w:ascii="Cambria" w:hAnsi="Cambria"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agwek1"/>
        <w:numPr>
          <w:ilvl w:val="0"/>
          <w:numId w:val="3"/>
        </w:numPr>
        <w:rPr>
          <w:rFonts w:ascii="Cambria" w:hAnsi="Cambria"/>
          <w:sz w:val="24"/>
          <w:szCs w:val="24"/>
        </w:rPr>
      </w:pPr>
      <w:bookmarkStart w:id="4" w:name="_Toc532892801"/>
      <w:bookmarkEnd w:id="4"/>
      <w:r>
        <w:rPr>
          <w:sz w:val="24"/>
          <w:szCs w:val="24"/>
        </w:rPr>
        <w:t>UKŁAD KONSTRUKCYJNY OBIEKTU BUDOWLANEGO</w:t>
      </w:r>
    </w:p>
    <w:p>
      <w:pPr>
        <w:pStyle w:val="Nagwek2"/>
        <w:numPr>
          <w:ilvl w:val="1"/>
          <w:numId w:val="3"/>
        </w:numPr>
        <w:rPr>
          <w:rFonts w:ascii="Cambria" w:hAnsi="Cambria"/>
          <w:sz w:val="24"/>
          <w:szCs w:val="24"/>
        </w:rPr>
      </w:pPr>
      <w:bookmarkStart w:id="5" w:name="_Toc532892802"/>
      <w:bookmarkEnd w:id="5"/>
      <w:r>
        <w:rPr>
          <w:sz w:val="24"/>
          <w:szCs w:val="24"/>
        </w:rPr>
        <w:t>Ogólny opis konstrukcji</w:t>
      </w:r>
    </w:p>
    <w:p>
      <w:pPr>
        <w:pStyle w:val="Normal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eastAsia="Batang"/>
          <w:sz w:val="24"/>
          <w:szCs w:val="24"/>
          <w:lang w:eastAsia="ar-SA"/>
        </w:rPr>
        <w:t xml:space="preserve">Istniejący obiekt charakteryzujący się żelbetową konstrukcją. </w:t>
      </w:r>
    </w:p>
    <w:p>
      <w:pPr>
        <w:pStyle w:val="Normal"/>
        <w:rPr>
          <w:rFonts w:ascii="Cambria" w:hAnsi="Cambria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agwek1"/>
        <w:numPr>
          <w:ilvl w:val="0"/>
          <w:numId w:val="3"/>
        </w:numPr>
        <w:rPr>
          <w:rFonts w:ascii="Cambria" w:hAnsi="Cambria"/>
          <w:sz w:val="24"/>
          <w:szCs w:val="24"/>
        </w:rPr>
      </w:pPr>
      <w:bookmarkStart w:id="6" w:name="_Toc532892804"/>
      <w:bookmarkEnd w:id="6"/>
      <w:r>
        <w:rPr>
          <w:sz w:val="24"/>
          <w:szCs w:val="24"/>
        </w:rPr>
        <w:t>OPIS ROZWIĄZAŃ KONSTRUKCYJNO-MATERIAŁOWYCH</w:t>
      </w:r>
    </w:p>
    <w:p>
      <w:pPr>
        <w:pStyle w:val="Normal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agwek2"/>
        <w:numPr>
          <w:ilvl w:val="1"/>
          <w:numId w:val="3"/>
        </w:numPr>
        <w:rPr>
          <w:rFonts w:ascii="Cambria" w:hAnsi="Cambria"/>
          <w:sz w:val="24"/>
          <w:szCs w:val="24"/>
        </w:rPr>
      </w:pPr>
      <w:bookmarkStart w:id="7" w:name="_Toc532892813"/>
      <w:r>
        <w:rPr>
          <w:sz w:val="24"/>
          <w:szCs w:val="24"/>
        </w:rPr>
        <w:t>R</w:t>
      </w:r>
      <w:bookmarkEnd w:id="7"/>
      <w:r>
        <w:rPr>
          <w:sz w:val="24"/>
          <w:szCs w:val="24"/>
        </w:rPr>
        <w:t>emont istniejącej trybuny:</w:t>
      </w:r>
    </w:p>
    <w:p>
      <w:pPr>
        <w:pStyle w:val="Normal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sz w:val="24"/>
          <w:szCs w:val="24"/>
          <w:lang w:eastAsia="ar-SA"/>
        </w:rPr>
        <w:t xml:space="preserve">Wymiana siedzisk stadionowych, kolor należy uzgodni z inwestorem, jako rozwiązanie systemowe np. WO-03 firmy PROSTAR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Uzupełnienie ubytków betonowych w istniejącej trybunie  przy zastosowaniu zapraw systemowych do napraw betonu. np. Ceresit PCC.</w:t>
      </w:r>
    </w:p>
    <w:p>
      <w:pPr>
        <w:pStyle w:val="Nagwek4"/>
        <w:numPr>
          <w:ilvl w:val="0"/>
          <w:numId w:val="0"/>
        </w:numPr>
        <w:ind w:left="720" w:hanging="0"/>
        <w:rPr>
          <w:rFonts w:ascii="Cambria" w:hAnsi="Cambria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</w:pPr>
      <w:r>
        <w:rPr>
          <w:rFonts w:ascii="Cambria" w:hAnsi="Cambria"/>
          <w:i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Naprawa konstrukcji betonowych</w:t>
      </w:r>
    </w:p>
    <w:p>
      <w:pPr>
        <w:pStyle w:val="Tretekstu"/>
        <w:widowControl/>
        <w:bidi w:val="0"/>
        <w:spacing w:lineRule="auto" w:line="240" w:before="0" w:after="0"/>
        <w:ind w:left="737" w:right="0" w:hanging="0"/>
        <w:jc w:val="left"/>
        <w:rPr>
          <w:rFonts w:ascii="Cambria" w:hAnsi="Cambria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Prace naprawcze rozpoczyna się od skucia luźnych, skorodowanych fragmentów betonu, usunięcia zniszczonych warstw wykładzin, tynków, izolacji i oczyszczenia powierzchni do „zdrowej”, nośnej warstwy.</w:t>
        <w:br/>
        <w:t>- Jeżeli korozja dotarła do zbrojenia należy z niego usunąć beton aż do miejsc nieskorodowanych. Pręty należy oczyścić z rdzy ręcznie lub mechanicznie do uzyskania jasnego, metalicznego wyglądu, a potem oczyścić sprężonym</w:t>
      </w:r>
    </w:p>
    <w:p>
      <w:pPr>
        <w:pStyle w:val="Tretekstu"/>
        <w:widowControl/>
        <w:bidi w:val="0"/>
        <w:spacing w:lineRule="auto" w:line="240" w:before="0" w:after="0"/>
        <w:ind w:left="737" w:right="0" w:hanging="0"/>
        <w:jc w:val="left"/>
        <w:rPr>
          <w:rFonts w:ascii="Cambria" w:hAnsi="Cambria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powietrzem.</w:t>
        <w:br/>
        <w:t>- Na tak przygotowaną powierzchnię stali zbrojeniowej należy nałożyć mineralną powłokę antykorozyjna. Zaprawę antykorozyjną należy nałożyć najpóźniej 3 godziny po oczyszczeniu stali zbrojeniowej. (podczas aplikacji stal może być wilgotna)</w:t>
        <w:br/>
        <w:t>- Po wykonaniu zabezpieczenia stali zbrojeniowej, tuż przed przystąpieniem do uzupełniania ubytków betonu przygotowaną powierzchnię betonu należy zwilżyć wodą i doprowadzić do stanu matowo-wilgotnego. Na tak przygotowane podłoże nakłada się kontaktową warstwę.</w:t>
        <w:br/>
        <w:t>- Kolejne zaprawy systemu nakładać po wstępnym przeschnięciu warstwy kontaktowej, gdy zaprawa stanie się matowo-wilgotna, czyli w ciągu 30-60 minut. W zależności od głębokości ubytku  do jego uzupełnienia należy zastosować jedną z za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pra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</w:rPr>
        <w:t>wę uzupełniającą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po uzupełnieniu braków powierzchnię trybun należy poddać śrutowaniu w celu wyczyszczenia oraz uzyskania faktury na istniejącym betonie.</w:t>
      </w:r>
    </w:p>
    <w:p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oczyszczoną  powierzchnię trybu betonowych należy zaimpregnować gruntem bezbarwnym wzmacniającym powierzchnię betonu do zastosowań zewnętrznych , zwiększającym parametry mrozoodporne. </w:t>
      </w:r>
    </w:p>
    <w:p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wymiana nawierzchni schodów trybuny (schody pomiędzy sektorami, oraz schody skrajne)  wykonanych z obrzeży betonowych oraz betonowej kostki brukowej.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Przy wymianie należy zastosować kostkę brukową gr. 6cm, kolorystyka do uzgodnienia z inwestorem.</w:t>
      </w:r>
    </w:p>
    <w:p>
      <w:pPr>
        <w:pStyle w:val="ListParagraph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ListParagraph"/>
        <w:ind w:left="720" w:hanging="0"/>
        <w:rPr>
          <w:rFonts w:ascii="Cambria" w:hAnsi="Cambr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Web"/>
        <w:spacing w:lineRule="auto" w:line="240" w:before="0" w:after="0"/>
        <w:ind w:left="3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6. UWAGI</w:t>
      </w:r>
    </w:p>
    <w:p>
      <w:pPr>
        <w:pStyle w:val="Normal"/>
        <w:spacing w:lineRule="auto" w:line="240"/>
        <w:ind w:firstLine="36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Wszelkie użyte nazwy handlowe występujące w dokumentacji projektowej w tym w opisie przedmiotu zamówienia, należy traktować jako informację uściślającą, zostały użyte wyłącznie w celu przybliżenia potrzeb zamawiającego. Dopuszcza się użycie do realizacji dostaw produktów równoważnych, co do ich jakości, docelowego przeznaczenia i spełnianych funkcji  i walorów użytkowych. Przez jakość należy rozumieć zapewnienie minimalnych parametrów produktu wskazanego w dokumentacji lub opisie przedmiotu zamówienia. Wykonawca, który do wyceny przyjmie rozwiązania równoważne jest zobowiązany złożyć wykaz z opisami oferowanego przedmiotu zamówienia równoważnego, w którym dla każdego produktu określić nazwę producenta, typ/model oraz inne cechy produktu pozwalające na identyfikację zaoferowanego produktu w celu potwierdzenia zgodności z dokumentacją lub opisem przedmiotu zamówienia.</w:t>
      </w:r>
    </w:p>
    <w:p>
      <w:pPr>
        <w:pStyle w:val="NormalWeb"/>
        <w:spacing w:lineRule="auto" w:line="240" w:before="0" w:after="0"/>
        <w:ind w:left="72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Uwagi wykonawcze</w:t>
      </w:r>
    </w:p>
    <w:p>
      <w:pPr>
        <w:pStyle w:val="Normal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Roboty muszą być wykonane zgodnie z normami, sztuką budowlaną i przepisami BHP pod nadzorem osoby posiadającej odpowiednie uprawnienia zawodowe.</w:t>
      </w:r>
    </w:p>
    <w:p>
      <w:pPr>
        <w:pStyle w:val="Normal"/>
        <w:spacing w:lineRule="auto" w:line="24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Należy przestrzegać reżimów technologicznych betonowania i obciążania elementów po uzyskaniu pełnej nośności. Stosować szalunki inwentaryzowane i beton z wytwórni mas betonowych. 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Wszystkie materiały budowlane użyte do realizacji inwestycji powinny posiadać odpowiednie Aprobaty Techniczne (AT), atesty, certyfikaty i dopuszczenia do stosowania w budownictwie na terenie Polski. Roboty budowlane należy prowadzić zgodnie z zasadami sztuki budowlanej, „Warunkami technicznymi wykonania i odbioru robót budowlanych”, niniejszą dokumentacją oraz przepisami BHP, pod nadzorem osób uprawnionych. Wszelkie niezgodności w dokumentacji projektowej należy zgłaszać projektantowi przed wykonaniem robót budowlanych. Zestawienia ilościowe, jakościowe i materiałowe przyjęte w niniejszym projekcie należy sprawdzić i zweryfikować przed zamówieniem materiałów. Wszelkie zmiany projektowe i materiałowe winny być uzgodnione z projektantem.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Przed montażem wszelkich wyrobów konstrukcyjnych użytych w projekcie należy zapoznać się z instrukcjami technicznymi wyrobów, w razie potrzeby skontaktować się z doradcą technicznym bądź projektantem. Niniejszy projekt należy rozpatrywać łącznie z projektami instalacji oraz opiniami odpowiednich rzeczoznawców.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Dla wszystkich elementów żelbetowych należy prowadzić pielęgnację betonu przez okres co najmniej 7 dni od ułożenia mieszanki. </w:t>
      </w:r>
    </w:p>
    <w:p>
      <w:pPr>
        <w:pStyle w:val="Normal"/>
        <w:spacing w:lineRule="auto" w:line="240"/>
        <w:ind w:firstLine="708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0"/>
        </w:numPr>
        <w:spacing w:lineRule="auto" w:line="240" w:before="69" w:after="57"/>
        <w:ind w:left="550" w:right="0" w:hanging="0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keepLines/>
        <w:numPr>
          <w:ilvl w:val="0"/>
          <w:numId w:val="0"/>
        </w:numPr>
        <w:spacing w:before="0" w:after="0"/>
        <w:ind w:left="72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7.  Zastrzeżenia projektowe.</w:t>
      </w:r>
    </w:p>
    <w:p>
      <w:pPr>
        <w:pStyle w:val="NoSpacing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</w:r>
    </w:p>
    <w:p>
      <w:pPr>
        <w:pStyle w:val="NoSpacing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Wszystkie materiały budowlane użyte do realizacji inwestycji powinny posiadać odpowiednie Aprobaty Techniczne (AT) , atesty, certyfikaty i dopuszczenia do stosowania w budownictwie na terenie Polski. Roboty budowlane należy prowadzić zgodnie z zasadami sztuki budowlanej, „Warunkami technicznymi wykonania i odbioru robót budowlanych”, niniejszą dokumentacją oraz przepisami BHP, pod nadzorem osób uprawnionych. Wszelkie niezgodności w dokumentacji projektowej należy zgłaszać projektantowi przed wykonaniem robót budowlanych. Zestawienia ilościowe, jakościowe i materiałowe przyjęte w niniejszym projekcie należy sprawdzić i zweryfikować przed zamówieniem materiałów. </w:t>
      </w:r>
    </w:p>
    <w:p>
      <w:pPr>
        <w:pStyle w:val="Normal"/>
        <w:ind w:firstLine="708"/>
        <w:jc w:val="both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</w:rPr>
        <w:t>Przed montażem wszelkich wyrobów użytych w projekcie należy zapoznać się z instrukcjami technicznymi wyrobów, w razie potrzeby skontaktować się z doradcą technicznym bądź projektantem.</w:t>
      </w:r>
    </w:p>
    <w:p>
      <w:pPr>
        <w:pStyle w:val="Normal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4536" w:leader="none"/>
        </w:tabs>
        <w:jc w:val="both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Prace powinny być prowadzone pod nadzorem inwestorskim w zakresie konstrukcyjno-technologicznym. Osoby wykonujące nadzór powinny posiadać odpowiednie uprawnienia. Zawarte w opracowaniu rozwiązania architektoniczne i konstrukcyjno - technologiczne podlegają ochronie praw autorskich i nie mogą być kopiowane, powielane i stosowane bez zgody autorów projektu. </w:t>
      </w:r>
    </w:p>
    <w:p>
      <w:pPr>
        <w:pStyle w:val="Normal"/>
        <w:ind w:firstLine="708"/>
        <w:jc w:val="both"/>
        <w:rPr>
          <w:rFonts w:ascii="Cambria" w:hAnsi="Cambria"/>
          <w:sz w:val="24"/>
          <w:szCs w:val="24"/>
        </w:rPr>
      </w:pPr>
      <w:r>
        <w:rPr>
          <w:color w:val="000000"/>
          <w:sz w:val="24"/>
          <w:szCs w:val="24"/>
        </w:rPr>
        <w:t>Wprowadzenia rozwiązań zamiennych w stosunku do przewidzianych w projekcie (zgłoszonych przez kierownika budowy lub inspektora nadzoru inwestorskiego) należy ustalić z projektantem.</w:t>
      </w:r>
    </w:p>
    <w:p>
      <w:pPr>
        <w:pStyle w:val="Normal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eastAsia="Batang"/>
          <w:bCs/>
          <w:color w:val="000000"/>
          <w:sz w:val="24"/>
          <w:szCs w:val="24"/>
        </w:rPr>
        <w:t>W przypadku gdy materiały lub roboty nie będą w pełni zgodne z dokumentacją projektową i wpłynie to na nie zadawalającą jakość elementu budowli, to takie materiały zostaną zastąpione innymi, a elementy rozebrane i wykonane na koszt Wykonawcy.</w:t>
      </w:r>
    </w:p>
    <w:p>
      <w:pPr>
        <w:pStyle w:val="NormalWeb"/>
        <w:spacing w:before="0" w:after="0"/>
        <w:ind w:firstLine="540"/>
        <w:jc w:val="both"/>
        <w:rPr>
          <w:rFonts w:ascii="Cambria" w:hAnsi="Cambria"/>
          <w:sz w:val="24"/>
          <w:szCs w:val="24"/>
        </w:rPr>
      </w:pPr>
      <w:r>
        <w:rPr>
          <w:rFonts w:eastAsia="Calibri" w:cs="Times New Roman" w:ascii="Cambria" w:hAnsi="Cambria"/>
          <w:color w:val="000000"/>
          <w:spacing w:val="-1"/>
          <w:sz w:val="24"/>
          <w:szCs w:val="24"/>
          <w:lang w:eastAsia="ar-SA"/>
        </w:rPr>
        <w:t>Zastosowane materiały, urządzenia oraz technologie dobrane są tak by spełniać założenia projektowe. Istnieje możliwość zastosowania rozwiązań alternatywnych, które posiadają równoważne bądź wyższe parametry od podanych w opisie.</w:t>
      </w:r>
    </w:p>
    <w:p>
      <w:pPr>
        <w:pStyle w:val="Norm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/>
      </w:pPr>
      <w:r>
        <w:rPr/>
      </w:r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pStyle w:val="Nagwek1"/>
      <w:numFmt w:val="decimal"/>
      <w:lvlText w:val="%1."/>
      <w:lvlJc w:val="left"/>
      <w:pPr>
        <w:ind w:left="720" w:hanging="360"/>
      </w:pPr>
      <w:rPr>
        <w:sz w:val="24"/>
        <w:b w:val="false"/>
        <w:rFonts w:ascii="Cambria" w:hAnsi="Cambria"/>
      </w:rPr>
    </w:lvl>
    <w:lvl w:ilvl="1">
      <w:start w:val="1"/>
      <w:pStyle w:val="Nagwek2"/>
      <w:numFmt w:val="decimal"/>
      <w:lvlText w:val="%1.%2."/>
      <w:lvlJc w:val="left"/>
      <w:pPr>
        <w:ind w:left="1080" w:hanging="72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d28"/>
    <w:pPr>
      <w:widowControl/>
      <w:bidi w:val="0"/>
      <w:spacing w:lineRule="auto" w:line="240" w:before="0" w:after="0"/>
      <w:jc w:val="both"/>
    </w:pPr>
    <w:rPr>
      <w:rFonts w:ascii="Cambria" w:hAnsi="Cambria" w:eastAsia="Calibri" w:cs="" w:cstheme="minorBidi" w:eastAsia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qFormat/>
    <w:rsid w:val="00ea7d28"/>
    <w:pPr>
      <w:keepNext w:val="true"/>
      <w:keepLines/>
      <w:numPr>
        <w:ilvl w:val="0"/>
        <w:numId w:val="1"/>
      </w:numPr>
      <w:ind w:left="-170" w:right="0"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24"/>
      <w:szCs w:val="28"/>
      <w:lang w:eastAsia="ar-SA"/>
    </w:rPr>
  </w:style>
  <w:style w:type="paragraph" w:styleId="Nagwek2">
    <w:name w:val="Heading 2"/>
    <w:basedOn w:val="Normal"/>
    <w:link w:val="Nagwek2Znak"/>
    <w:autoRedefine/>
    <w:unhideWhenUsed/>
    <w:qFormat/>
    <w:rsid w:val="00ea7d28"/>
    <w:pPr>
      <w:keepNext w:val="true"/>
      <w:keepLines/>
      <w:numPr>
        <w:ilvl w:val="1"/>
        <w:numId w:val="1"/>
      </w:numPr>
      <w:outlineLvl w:val="1"/>
    </w:pPr>
    <w:rPr>
      <w:rFonts w:ascii="Cambria" w:hAnsi="Cambria" w:eastAsia="" w:cs="" w:asciiTheme="majorHAnsi" w:cstheme="majorBidi" w:eastAsiaTheme="majorEastAsia" w:hAnsiTheme="majorHAnsi"/>
      <w:bCs/>
      <w:szCs w:val="26"/>
      <w:lang w:eastAsia="ar-SA"/>
    </w:rPr>
  </w:style>
  <w:style w:type="paragraph" w:styleId="Nagwek3">
    <w:name w:val="Heading 3"/>
    <w:basedOn w:val="Normal"/>
    <w:link w:val="Nagwek3Znak"/>
    <w:autoRedefine/>
    <w:qFormat/>
    <w:rsid w:val="00ea7d28"/>
    <w:pPr>
      <w:keepNext w:val="true"/>
      <w:tabs>
        <w:tab w:val="clear" w:pos="708"/>
        <w:tab w:val="left" w:pos="578" w:leader="none"/>
      </w:tabs>
      <w:suppressAutoHyphens w:val="true"/>
      <w:ind w:left="578" w:hanging="720"/>
      <w:jc w:val="left"/>
      <w:outlineLvl w:val="2"/>
    </w:pPr>
    <w:rPr>
      <w:rFonts w:eastAsia="Times New Roman" w:cs="Arial"/>
      <w:bCs/>
      <w:szCs w:val="26"/>
      <w:lang w:eastAsia="ar-SA"/>
    </w:rPr>
  </w:style>
  <w:style w:type="paragraph" w:styleId="Nagwek4">
    <w:name w:val="Heading 4"/>
    <w:basedOn w:val="Nagwek3"/>
    <w:link w:val="Nagwek4Znak"/>
    <w:qFormat/>
    <w:rsid w:val="00485d84"/>
    <w:pPr>
      <w:tabs>
        <w:tab w:val="left" w:pos="578" w:leader="none"/>
        <w:tab w:val="left" w:pos="864" w:leader="none"/>
      </w:tabs>
      <w:suppressAutoHyphens w:val="false"/>
      <w:spacing w:before="120" w:after="80"/>
      <w:ind w:left="864" w:hanging="864"/>
      <w:jc w:val="both"/>
      <w:outlineLvl w:val="3"/>
    </w:pPr>
    <w:rPr>
      <w:rFonts w:ascii="Arial" w:hAnsi="Arial" w:cs="Times New Roman"/>
      <w:b/>
      <w:bCs w:val="false"/>
      <w:sz w:val="20"/>
      <w:szCs w:val="20"/>
      <w:lang w:eastAsia="pl-PL"/>
    </w:rPr>
  </w:style>
  <w:style w:type="paragraph" w:styleId="Nagwek5">
    <w:name w:val="Heading 5"/>
    <w:basedOn w:val="Normal"/>
    <w:link w:val="Nagwek5Znak"/>
    <w:qFormat/>
    <w:rsid w:val="00485d84"/>
    <w:pPr>
      <w:tabs>
        <w:tab w:val="clear" w:pos="708"/>
        <w:tab w:val="left" w:pos="1008" w:leader="none"/>
      </w:tabs>
      <w:spacing w:lineRule="auto" w:line="360" w:before="240" w:after="60"/>
      <w:ind w:left="1008" w:hanging="1008"/>
      <w:outlineLvl w:val="4"/>
    </w:pPr>
    <w:rPr>
      <w:rFonts w:ascii="Arial" w:hAnsi="Arial" w:eastAsia="Times New Roman" w:cs="Times New Roman"/>
      <w:szCs w:val="20"/>
      <w:lang w:eastAsia="pl-PL"/>
    </w:rPr>
  </w:style>
  <w:style w:type="paragraph" w:styleId="Nagwek6">
    <w:name w:val="Heading 6"/>
    <w:basedOn w:val="Normal"/>
    <w:link w:val="Nagwek6Znak"/>
    <w:qFormat/>
    <w:rsid w:val="00485d84"/>
    <w:pPr>
      <w:tabs>
        <w:tab w:val="clear" w:pos="708"/>
        <w:tab w:val="left" w:pos="1152" w:leader="none"/>
      </w:tabs>
      <w:spacing w:lineRule="auto" w:line="360" w:before="240" w:after="60"/>
      <w:ind w:left="1152" w:hanging="1152"/>
      <w:outlineLvl w:val="5"/>
    </w:pPr>
    <w:rPr>
      <w:rFonts w:ascii="Times New Roman" w:hAnsi="Times New Roman" w:eastAsia="Times New Roman" w:cs="Times New Roman"/>
      <w:i/>
      <w:szCs w:val="20"/>
      <w:lang w:eastAsia="pl-PL"/>
    </w:rPr>
  </w:style>
  <w:style w:type="paragraph" w:styleId="Nagwek7">
    <w:name w:val="Heading 7"/>
    <w:basedOn w:val="Normal"/>
    <w:link w:val="Nagwek7Znak"/>
    <w:qFormat/>
    <w:rsid w:val="00485d84"/>
    <w:pPr>
      <w:tabs>
        <w:tab w:val="clear" w:pos="708"/>
        <w:tab w:val="left" w:pos="1296" w:leader="none"/>
      </w:tabs>
      <w:spacing w:lineRule="auto" w:line="360" w:before="240" w:after="60"/>
      <w:ind w:left="1296" w:hanging="1296"/>
      <w:outlineLvl w:val="6"/>
    </w:pPr>
    <w:rPr>
      <w:rFonts w:ascii="Arial" w:hAnsi="Arial" w:eastAsia="Times New Roman" w:cs="Times New Roman"/>
      <w:sz w:val="20"/>
      <w:szCs w:val="20"/>
      <w:lang w:eastAsia="pl-PL"/>
    </w:rPr>
  </w:style>
  <w:style w:type="paragraph" w:styleId="Nagwek8">
    <w:name w:val="Heading 8"/>
    <w:basedOn w:val="Normal"/>
    <w:link w:val="Nagwek8Znak"/>
    <w:qFormat/>
    <w:rsid w:val="00485d84"/>
    <w:pPr>
      <w:tabs>
        <w:tab w:val="clear" w:pos="708"/>
        <w:tab w:val="left" w:pos="1440" w:leader="none"/>
      </w:tabs>
      <w:spacing w:lineRule="auto" w:line="360" w:before="240" w:after="60"/>
      <w:ind w:left="1440" w:hanging="1440"/>
      <w:outlineLvl w:val="7"/>
    </w:pPr>
    <w:rPr>
      <w:rFonts w:ascii="Arial" w:hAnsi="Arial" w:eastAsia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"/>
    <w:link w:val="Nagwek9Znak"/>
    <w:qFormat/>
    <w:rsid w:val="00485d84"/>
    <w:pPr>
      <w:tabs>
        <w:tab w:val="clear" w:pos="708"/>
        <w:tab w:val="left" w:pos="1584" w:leader="none"/>
      </w:tabs>
      <w:spacing w:lineRule="auto" w:line="360" w:before="240" w:after="60"/>
      <w:ind w:left="1584" w:hanging="1584"/>
      <w:outlineLvl w:val="8"/>
    </w:pPr>
    <w:rPr>
      <w:rFonts w:ascii="Arial" w:hAnsi="Arial" w:eastAsia="Times New Roman" w:cs="Times New Roman"/>
      <w:b/>
      <w:i/>
      <w:sz w:val="1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a7d28"/>
    <w:rPr>
      <w:rFonts w:ascii="Cambria" w:hAnsi="Cambria" w:eastAsia="" w:cs="" w:asciiTheme="majorHAnsi" w:cstheme="majorBidi" w:eastAsiaTheme="majorEastAsia" w:hAnsiTheme="majorHAnsi"/>
      <w:bCs/>
      <w:sz w:val="24"/>
      <w:szCs w:val="28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ea7d28"/>
    <w:rPr>
      <w:rFonts w:ascii="Cambria" w:hAnsi="Cambria" w:eastAsia="" w:cs="" w:asciiTheme="majorHAnsi" w:cstheme="majorBidi" w:eastAsiaTheme="majorEastAsia" w:hAnsiTheme="majorHAnsi"/>
      <w:bCs/>
      <w:szCs w:val="26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ea7d28"/>
    <w:rPr>
      <w:rFonts w:ascii="Cambria" w:hAnsi="Cambria" w:eastAsia="Times New Roman" w:cs="Arial"/>
      <w:bCs/>
      <w:szCs w:val="26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a7d28"/>
    <w:rPr>
      <w:rFonts w:ascii="Cambria" w:hAnsi="Cambri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a7d28"/>
    <w:rPr>
      <w:rFonts w:ascii="Cambria" w:hAnsi="Cambri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a7d28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a7d2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a7d28"/>
    <w:rPr>
      <w:color w:val="808080"/>
    </w:rPr>
  </w:style>
  <w:style w:type="character" w:styleId="PlandokumentuZnak" w:customStyle="1">
    <w:name w:val="Plan dokumentu Znak"/>
    <w:basedOn w:val="DefaultParagraphFont"/>
    <w:link w:val="Plandokumentu"/>
    <w:uiPriority w:val="99"/>
    <w:semiHidden/>
    <w:qFormat/>
    <w:rsid w:val="00ea7d28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a7d28"/>
    <w:rPr>
      <w:rFonts w:ascii="Cambria" w:hAnsi="Cambria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85d84"/>
    <w:rPr>
      <w:rFonts w:ascii="Cambria" w:hAnsi="Cambria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485d84"/>
    <w:rPr>
      <w:rFonts w:ascii="Cambria" w:hAnsi="Cambria"/>
      <w:sz w:val="16"/>
      <w:szCs w:val="16"/>
    </w:rPr>
  </w:style>
  <w:style w:type="character" w:styleId="Nagwek4Znak" w:customStyle="1">
    <w:name w:val="Nagłówek 4 Znak"/>
    <w:basedOn w:val="DefaultParagraphFont"/>
    <w:link w:val="Nagwek4"/>
    <w:qFormat/>
    <w:rsid w:val="00485d84"/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85d84"/>
    <w:rPr>
      <w:rFonts w:ascii="Arial" w:hAnsi="Arial" w:eastAsia="Times New Roman" w:cs="Times New Roman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85d84"/>
    <w:rPr>
      <w:rFonts w:ascii="Times New Roman" w:hAnsi="Times New Roman" w:eastAsia="Times New Roman" w:cs="Times New Roman"/>
      <w:i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85d84"/>
    <w:rPr>
      <w:rFonts w:ascii="Arial" w:hAnsi="Arial" w:eastAsia="Times New Roman" w:cs="Times New Roman"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85d84"/>
    <w:rPr>
      <w:rFonts w:ascii="Arial" w:hAnsi="Arial" w:eastAsia="Times New Roman" w:cs="Times New Roman"/>
      <w:i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85d84"/>
    <w:rPr>
      <w:rFonts w:ascii="Arial" w:hAnsi="Arial" w:eastAsia="Times New Roman" w:cs="Times New Roman"/>
      <w:b/>
      <w:i/>
      <w:sz w:val="18"/>
      <w:szCs w:val="20"/>
      <w:lang w:eastAsia="pl-PL"/>
    </w:rPr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ea7d28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a7d28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Nagwek1"/>
    <w:uiPriority w:val="39"/>
    <w:unhideWhenUsed/>
    <w:qFormat/>
    <w:rsid w:val="00ea7d28"/>
    <w:pPr>
      <w:numPr>
        <w:ilvl w:val="0"/>
        <w:numId w:val="0"/>
      </w:numPr>
      <w:ind w:left="-170" w:right="0" w:hanging="0"/>
    </w:pPr>
    <w:rPr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a7d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ea7d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a7d2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PlandokumentuZnak"/>
    <w:uiPriority w:val="99"/>
    <w:semiHidden/>
    <w:unhideWhenUsed/>
    <w:qFormat/>
    <w:rsid w:val="00ea7d28"/>
    <w:pPr/>
    <w:rPr>
      <w:rFonts w:ascii="Tahoma" w:hAnsi="Tahoma" w:cs="Tahoma"/>
      <w:sz w:val="16"/>
      <w:szCs w:val="16"/>
    </w:rPr>
  </w:style>
  <w:style w:type="paragraph" w:styleId="Spistreci1">
    <w:name w:val="TOC 1"/>
    <w:basedOn w:val="Normal"/>
    <w:autoRedefine/>
    <w:uiPriority w:val="39"/>
    <w:unhideWhenUsed/>
    <w:qFormat/>
    <w:rsid w:val="00ea7d28"/>
    <w:pPr>
      <w:tabs>
        <w:tab w:val="clear" w:pos="708"/>
        <w:tab w:val="left" w:pos="440" w:leader="none"/>
        <w:tab w:val="right" w:pos="9945" w:leader="hyphen"/>
      </w:tabs>
      <w:jc w:val="left"/>
    </w:pPr>
    <w:rPr>
      <w:rFonts w:ascii="Cambria" w:hAnsi="Cambria" w:eastAsia="Batang" w:asciiTheme="majorHAnsi" w:hAnsiTheme="majorHAnsi"/>
      <w:sz w:val="24"/>
      <w:szCs w:val="24"/>
      <w:lang w:eastAsia="ar-SA"/>
    </w:rPr>
  </w:style>
  <w:style w:type="paragraph" w:styleId="Spistreci2">
    <w:name w:val="TOC 2"/>
    <w:basedOn w:val="Normal"/>
    <w:autoRedefine/>
    <w:uiPriority w:val="39"/>
    <w:unhideWhenUsed/>
    <w:rsid w:val="00ea7d28"/>
    <w:pPr>
      <w:tabs>
        <w:tab w:val="clear" w:pos="708"/>
        <w:tab w:val="left" w:pos="880" w:leader="none"/>
        <w:tab w:val="right" w:pos="9628" w:leader="hyphen"/>
      </w:tabs>
      <w:spacing w:lineRule="auto" w:line="276"/>
      <w:ind w:left="170" w:hanging="0"/>
      <w:jc w:val="left"/>
    </w:pPr>
    <w:rPr>
      <w:rFonts w:eastAsia="" w:eastAsiaTheme="minorEastAsia"/>
      <w:lang w:eastAsia="pl-PL"/>
    </w:rPr>
  </w:style>
  <w:style w:type="paragraph" w:styleId="Spistreci3">
    <w:name w:val="TOC 3"/>
    <w:basedOn w:val="Normal"/>
    <w:autoRedefine/>
    <w:uiPriority w:val="39"/>
    <w:unhideWhenUsed/>
    <w:rsid w:val="00ea7d28"/>
    <w:pPr>
      <w:spacing w:lineRule="auto" w:line="276" w:before="0" w:after="100"/>
      <w:ind w:left="440" w:hanging="0"/>
      <w:jc w:val="left"/>
    </w:pPr>
    <w:rPr>
      <w:rFonts w:eastAsia="" w:eastAsiaTheme="minorEastAsia"/>
      <w:lang w:eastAsia="pl-PL"/>
    </w:rPr>
  </w:style>
  <w:style w:type="paragraph" w:styleId="Spistreci4">
    <w:name w:val="TOC 4"/>
    <w:basedOn w:val="Normal"/>
    <w:autoRedefine/>
    <w:uiPriority w:val="39"/>
    <w:unhideWhenUsed/>
    <w:rsid w:val="00ea7d28"/>
    <w:pPr>
      <w:spacing w:lineRule="auto" w:line="276" w:before="0" w:after="100"/>
      <w:ind w:left="660" w:hanging="0"/>
      <w:jc w:val="left"/>
    </w:pPr>
    <w:rPr>
      <w:rFonts w:eastAsia="" w:eastAsiaTheme="minorEastAsia"/>
      <w:lang w:eastAsia="pl-PL"/>
    </w:rPr>
  </w:style>
  <w:style w:type="paragraph" w:styleId="Spistreci5">
    <w:name w:val="TOC 5"/>
    <w:basedOn w:val="Normal"/>
    <w:autoRedefine/>
    <w:uiPriority w:val="39"/>
    <w:unhideWhenUsed/>
    <w:rsid w:val="00ea7d28"/>
    <w:pPr>
      <w:spacing w:lineRule="auto" w:line="276" w:before="0" w:after="100"/>
      <w:ind w:left="880" w:hanging="0"/>
      <w:jc w:val="left"/>
    </w:pPr>
    <w:rPr>
      <w:rFonts w:eastAsia="" w:eastAsiaTheme="minorEastAsia"/>
      <w:lang w:eastAsia="pl-PL"/>
    </w:rPr>
  </w:style>
  <w:style w:type="paragraph" w:styleId="Spistreci6">
    <w:name w:val="TOC 6"/>
    <w:basedOn w:val="Normal"/>
    <w:autoRedefine/>
    <w:uiPriority w:val="39"/>
    <w:unhideWhenUsed/>
    <w:rsid w:val="00ea7d28"/>
    <w:pPr>
      <w:spacing w:lineRule="auto" w:line="276" w:before="0" w:after="100"/>
      <w:ind w:left="1100" w:hanging="0"/>
      <w:jc w:val="left"/>
    </w:pPr>
    <w:rPr>
      <w:rFonts w:eastAsia="" w:eastAsiaTheme="minorEastAsia"/>
      <w:lang w:eastAsia="pl-PL"/>
    </w:rPr>
  </w:style>
  <w:style w:type="paragraph" w:styleId="Spistreci7">
    <w:name w:val="TOC 7"/>
    <w:basedOn w:val="Normal"/>
    <w:autoRedefine/>
    <w:uiPriority w:val="39"/>
    <w:unhideWhenUsed/>
    <w:rsid w:val="00ea7d28"/>
    <w:pPr>
      <w:spacing w:lineRule="auto" w:line="276" w:before="0" w:after="100"/>
      <w:ind w:left="1320" w:hanging="0"/>
      <w:jc w:val="left"/>
    </w:pPr>
    <w:rPr>
      <w:rFonts w:eastAsia="" w:eastAsiaTheme="minorEastAsia"/>
      <w:lang w:eastAsia="pl-PL"/>
    </w:rPr>
  </w:style>
  <w:style w:type="paragraph" w:styleId="Spistreci8">
    <w:name w:val="TOC 8"/>
    <w:basedOn w:val="Normal"/>
    <w:autoRedefine/>
    <w:uiPriority w:val="39"/>
    <w:unhideWhenUsed/>
    <w:rsid w:val="00ea7d28"/>
    <w:pPr>
      <w:spacing w:lineRule="auto" w:line="276" w:before="0" w:after="100"/>
      <w:ind w:left="1540" w:hanging="0"/>
      <w:jc w:val="left"/>
    </w:pPr>
    <w:rPr>
      <w:rFonts w:eastAsia="" w:eastAsiaTheme="minorEastAsia"/>
      <w:lang w:eastAsia="pl-PL"/>
    </w:rPr>
  </w:style>
  <w:style w:type="paragraph" w:styleId="Spistreci9">
    <w:name w:val="TOC 9"/>
    <w:basedOn w:val="Normal"/>
    <w:autoRedefine/>
    <w:uiPriority w:val="39"/>
    <w:unhideWhenUsed/>
    <w:rsid w:val="00ea7d28"/>
    <w:pPr>
      <w:spacing w:lineRule="auto" w:line="276" w:before="0" w:after="100"/>
      <w:ind w:left="1760" w:hanging="0"/>
      <w:jc w:val="left"/>
    </w:pPr>
    <w:rPr>
      <w:rFonts w:eastAsia="" w:eastAsiaTheme="minorEastAsia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ea7d28"/>
    <w:pPr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485d84"/>
    <w:pPr>
      <w:spacing w:lineRule="auto" w:line="480" w:before="0" w:after="120"/>
    </w:pPr>
    <w:rPr/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485d84"/>
    <w:pPr>
      <w:spacing w:before="0" w:after="120"/>
    </w:pPr>
    <w:rPr>
      <w:sz w:val="16"/>
      <w:szCs w:val="16"/>
    </w:rPr>
  </w:style>
  <w:style w:type="paragraph" w:styleId="NORMY" w:customStyle="1">
    <w:name w:val="NORMY"/>
    <w:basedOn w:val="Normal"/>
    <w:qFormat/>
    <w:rsid w:val="00485d84"/>
    <w:pPr>
      <w:spacing w:lineRule="auto" w:line="360"/>
      <w:ind w:firstLine="284"/>
    </w:pPr>
    <w:rPr>
      <w:rFonts w:ascii="Arial" w:hAnsi="Arial" w:eastAsia="Times New Roman" w:cs="Times New Roman"/>
      <w:i/>
      <w:sz w:val="20"/>
      <w:szCs w:val="20"/>
      <w:lang w:eastAsia="pl-PL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a7d28"/>
    <w:pPr>
      <w:spacing w:after="0" w:line="240" w:lineRule="auto"/>
      <w:jc w:val="both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ea7d28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ea7d28"/>
    <w:pPr>
      <w:spacing w:after="0" w:line="240" w:lineRule="auto"/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ea7d28"/>
    <w:pPr>
      <w:spacing w:after="0" w:line="240" w:lineRule="auto"/>
      <w:jc w:val="both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ea7d28"/>
    <w:pPr>
      <w:spacing w:after="0" w:line="240" w:lineRule="auto"/>
      <w:jc w:val="both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ea7d28"/>
    <w:pPr>
      <w:spacing w:after="0" w:line="240" w:lineRule="auto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561E-03B2-4F23-8FF2-88903BD1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LibreOffice/6.3.4.2$Windows_X86_64 LibreOffice_project/60da17e045e08f1793c57c00ba83cdfce946d0aa</Application>
  <Pages>6</Pages>
  <Words>1325</Words>
  <Characters>9140</Characters>
  <CharactersWithSpaces>10399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2018-12-07T13:22:00Z</dcterms:created>
  <dc:creator>Ja</dc:creator>
  <dc:description/>
  <dc:language>pl-PL</dc:language>
  <cp:lastModifiedBy/>
  <cp:lastPrinted>2018-12-18T13:48:00Z</cp:lastPrinted>
  <dcterms:modified xsi:type="dcterms:W3CDTF">2022-04-01T11:27:08Z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