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0DC" w14:textId="3F131AD2" w:rsidR="00B8347B" w:rsidRPr="009E7305" w:rsidRDefault="00261C9D" w:rsidP="009E7305">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 xml:space="preserve">Załącznik nr </w:t>
      </w:r>
      <w:r w:rsidR="00BF0BA1">
        <w:rPr>
          <w:rFonts w:ascii="Times New Roman" w:eastAsia="Times New Roman" w:hAnsi="Times New Roman" w:cs="Times New Roman"/>
          <w:b/>
          <w:i/>
          <w:iCs/>
          <w:sz w:val="24"/>
          <w:szCs w:val="24"/>
          <w:lang w:eastAsia="pl-PL"/>
        </w:rPr>
        <w:t>3</w:t>
      </w:r>
      <w:r w:rsidRPr="00261C9D">
        <w:rPr>
          <w:rFonts w:ascii="Times New Roman" w:eastAsia="Times New Roman" w:hAnsi="Times New Roman" w:cs="Times New Roman"/>
          <w:b/>
          <w:i/>
          <w:iCs/>
          <w:sz w:val="24"/>
          <w:szCs w:val="24"/>
          <w:lang w:eastAsia="pl-PL"/>
        </w:rPr>
        <w:t xml:space="preserve"> do SWZ</w:t>
      </w:r>
    </w:p>
    <w:p w14:paraId="5642D9DE" w14:textId="1F47ADEF"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BF0BA1">
        <w:rPr>
          <w:rFonts w:ascii="Times New Roman" w:eastAsia="Times New Roman" w:hAnsi="Times New Roman" w:cs="Times New Roman"/>
          <w:b/>
          <w:sz w:val="24"/>
          <w:szCs w:val="24"/>
          <w:lang w:eastAsia="pl-PL"/>
        </w:rPr>
        <w:t>ŚDS</w:t>
      </w:r>
      <w:r w:rsidR="00973DB0">
        <w:rPr>
          <w:rFonts w:ascii="Times New Roman" w:eastAsia="Times New Roman" w:hAnsi="Times New Roman" w:cs="Times New Roman"/>
          <w:b/>
          <w:sz w:val="24"/>
          <w:szCs w:val="24"/>
          <w:lang w:eastAsia="pl-PL"/>
        </w:rPr>
        <w:t>.</w:t>
      </w:r>
      <w:r w:rsidR="00A67481">
        <w:rPr>
          <w:rFonts w:ascii="Times New Roman" w:eastAsia="Times New Roman" w:hAnsi="Times New Roman" w:cs="Times New Roman"/>
          <w:b/>
          <w:sz w:val="24"/>
          <w:szCs w:val="24"/>
          <w:lang w:eastAsia="pl-PL"/>
        </w:rPr>
        <w:t>1</w:t>
      </w:r>
      <w:r w:rsidR="00973DB0">
        <w:rPr>
          <w:rFonts w:ascii="Times New Roman" w:eastAsia="Times New Roman" w:hAnsi="Times New Roman" w:cs="Times New Roman"/>
          <w:b/>
          <w:sz w:val="24"/>
          <w:szCs w:val="24"/>
          <w:lang w:eastAsia="pl-PL"/>
        </w:rPr>
        <w:t>.2021</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FA22F5A" w14:textId="62B423F0" w:rsidR="00BF0BA1" w:rsidRPr="00BF0BA1" w:rsidRDefault="00B8347B" w:rsidP="00BF0BA1">
      <w:pPr>
        <w:pStyle w:val="Default"/>
        <w:rPr>
          <w:rFonts w:ascii="Times New Roman" w:hAnsi="Times New Roman" w:cs="Times New Roman"/>
          <w:b/>
          <w:bCs/>
        </w:rPr>
      </w:pPr>
      <w:r w:rsidRPr="00B8347B">
        <w:rPr>
          <w:rFonts w:ascii="Times New Roman" w:hAnsi="Times New Roman" w:cs="Times New Roman"/>
        </w:rPr>
        <w:t xml:space="preserve">zawarta w dniu ………………. pomiędzy </w:t>
      </w:r>
      <w:r w:rsidR="00BF0BA1" w:rsidRPr="00BF0BA1">
        <w:rPr>
          <w:rFonts w:ascii="Times New Roman" w:hAnsi="Times New Roman" w:cs="Times New Roman"/>
          <w:b/>
          <w:bCs/>
        </w:rPr>
        <w:t>Środowiskowy</w:t>
      </w:r>
      <w:r w:rsidR="00BF0BA1">
        <w:rPr>
          <w:rFonts w:ascii="Times New Roman" w:hAnsi="Times New Roman" w:cs="Times New Roman"/>
          <w:b/>
          <w:bCs/>
        </w:rPr>
        <w:t>m</w:t>
      </w:r>
      <w:r w:rsidR="00BF0BA1" w:rsidRPr="00BF0BA1">
        <w:rPr>
          <w:rFonts w:ascii="Times New Roman" w:hAnsi="Times New Roman" w:cs="Times New Roman"/>
          <w:b/>
          <w:bCs/>
        </w:rPr>
        <w:t xml:space="preserve"> Dom</w:t>
      </w:r>
      <w:r w:rsidR="00BF0BA1">
        <w:rPr>
          <w:rFonts w:ascii="Times New Roman" w:hAnsi="Times New Roman" w:cs="Times New Roman"/>
          <w:b/>
          <w:bCs/>
        </w:rPr>
        <w:t>em</w:t>
      </w:r>
      <w:r w:rsidR="00BF0BA1" w:rsidRPr="00BF0BA1">
        <w:rPr>
          <w:rFonts w:ascii="Times New Roman" w:hAnsi="Times New Roman" w:cs="Times New Roman"/>
          <w:b/>
          <w:bCs/>
        </w:rPr>
        <w:t xml:space="preserve"> Samopomocy </w:t>
      </w:r>
    </w:p>
    <w:p w14:paraId="0BFF90BA" w14:textId="0D93697D" w:rsidR="00BF0BA1" w:rsidRPr="00BF0BA1" w:rsidRDefault="00BF0BA1" w:rsidP="00BF0BA1">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BF0BA1">
        <w:rPr>
          <w:rFonts w:ascii="Times New Roman" w:eastAsia="Times New Roman" w:hAnsi="Times New Roman" w:cs="Times New Roman"/>
          <w:b/>
          <w:bCs/>
          <w:color w:val="000000"/>
          <w:sz w:val="24"/>
          <w:szCs w:val="24"/>
          <w:lang w:eastAsia="pl-PL"/>
        </w:rPr>
        <w:t>dla Osób z Zaburzeniami Psychicznymi i Niepełnosprawnych Intelektualnie</w:t>
      </w:r>
      <w:r>
        <w:rPr>
          <w:rFonts w:ascii="Times New Roman" w:eastAsia="Times New Roman" w:hAnsi="Times New Roman" w:cs="Times New Roman"/>
          <w:b/>
          <w:bCs/>
          <w:color w:val="000000"/>
          <w:sz w:val="24"/>
          <w:szCs w:val="24"/>
          <w:lang w:eastAsia="pl-PL"/>
        </w:rPr>
        <w:t xml:space="preserve"> </w:t>
      </w:r>
      <w:r w:rsidRPr="00BF0BA1">
        <w:rPr>
          <w:rFonts w:ascii="Times New Roman" w:eastAsia="Times New Roman" w:hAnsi="Times New Roman" w:cs="Times New Roman"/>
          <w:color w:val="000000"/>
          <w:sz w:val="24"/>
          <w:szCs w:val="24"/>
          <w:lang w:eastAsia="pl-PL"/>
        </w:rPr>
        <w:t>z siedzibą</w:t>
      </w:r>
    </w:p>
    <w:p w14:paraId="665FDAF4" w14:textId="77777777" w:rsidR="00BF0BA1" w:rsidRPr="00BF0BA1" w:rsidRDefault="00BF0BA1" w:rsidP="00BF0BA1">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BF0BA1">
        <w:rPr>
          <w:rFonts w:ascii="Times New Roman" w:eastAsia="Times New Roman" w:hAnsi="Times New Roman" w:cs="Times New Roman"/>
          <w:b/>
          <w:bCs/>
          <w:color w:val="000000"/>
          <w:sz w:val="24"/>
          <w:szCs w:val="24"/>
          <w:lang w:eastAsia="pl-PL"/>
        </w:rPr>
        <w:t>Zrecze Duże 22</w:t>
      </w:r>
    </w:p>
    <w:p w14:paraId="6546E45F" w14:textId="2163C46F"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zwan</w:t>
      </w:r>
      <w:r w:rsidR="00BF0BA1">
        <w:rPr>
          <w:rFonts w:ascii="Times New Roman" w:eastAsia="Times New Roman" w:hAnsi="Times New Roman" w:cs="Times New Roman"/>
          <w:sz w:val="24"/>
          <w:szCs w:val="24"/>
          <w:lang w:eastAsia="pl-PL"/>
        </w:rPr>
        <w:t>ym</w:t>
      </w:r>
      <w:r w:rsidRPr="00B8347B">
        <w:rPr>
          <w:rFonts w:ascii="Times New Roman" w:eastAsia="Times New Roman" w:hAnsi="Times New Roman" w:cs="Times New Roman"/>
          <w:sz w:val="24"/>
          <w:szCs w:val="24"/>
          <w:lang w:eastAsia="pl-PL"/>
        </w:rPr>
        <w:t xml:space="preserve"> dalej „Zamawiającym” reprezentowan</w:t>
      </w:r>
      <w:r w:rsidR="00BF0BA1">
        <w:rPr>
          <w:rFonts w:ascii="Times New Roman" w:eastAsia="Times New Roman" w:hAnsi="Times New Roman" w:cs="Times New Roman"/>
          <w:sz w:val="24"/>
          <w:szCs w:val="24"/>
          <w:lang w:eastAsia="pl-PL"/>
        </w:rPr>
        <w:t>ym</w:t>
      </w:r>
      <w:r w:rsidRPr="00B8347B">
        <w:rPr>
          <w:rFonts w:ascii="Times New Roman" w:eastAsia="Times New Roman" w:hAnsi="Times New Roman" w:cs="Times New Roman"/>
          <w:sz w:val="24"/>
          <w:szCs w:val="24"/>
          <w:lang w:eastAsia="pl-PL"/>
        </w:rPr>
        <w:t xml:space="preserve"> przez:</w:t>
      </w:r>
    </w:p>
    <w:p w14:paraId="6BB3FD88" w14:textId="783E5F6F" w:rsidR="00B8347B" w:rsidRPr="00B8347B" w:rsidRDefault="00BF0BA1" w:rsidP="00B8347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Justynę Doroz – Kierownika ŚDS</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45D9DE6"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2019r. poz. 2019)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7484F38B" w14:textId="585ECCA7" w:rsidR="00175077" w:rsidRPr="00175077" w:rsidRDefault="00703898" w:rsidP="00BF0BA1">
      <w:pPr>
        <w:pStyle w:val="Default"/>
        <w:jc w:val="both"/>
        <w:rPr>
          <w:rFonts w:ascii="Times New Roman" w:hAnsi="Times New Roman" w:cs="Times New Roman"/>
          <w:b/>
          <w:bCs/>
        </w:rPr>
      </w:pPr>
      <w:r>
        <w:rPr>
          <w:rFonts w:ascii="Times New Roman" w:hAnsi="Times New Roman" w:cs="Times New Roman"/>
          <w:spacing w:val="-10"/>
        </w:rPr>
        <w:t xml:space="preserve">1.1. </w:t>
      </w:r>
      <w:r w:rsidR="00B8347B" w:rsidRPr="00B8347B">
        <w:rPr>
          <w:rFonts w:ascii="Times New Roman" w:hAnsi="Times New Roman" w:cs="Times New Roman"/>
          <w:spacing w:val="-10"/>
        </w:rPr>
        <w:t>Zgodnie z wynikiem postępowania z dnia …...2021r. Zamawiający zleca a Wykonawca przyjmuje do wykonania zadani</w:t>
      </w:r>
      <w:r>
        <w:rPr>
          <w:rFonts w:ascii="Times New Roman" w:hAnsi="Times New Roman" w:cs="Times New Roman"/>
          <w:spacing w:val="-10"/>
        </w:rPr>
        <w:t xml:space="preserve">e </w:t>
      </w:r>
      <w:r w:rsidR="00B8347B" w:rsidRPr="00B8347B">
        <w:rPr>
          <w:rFonts w:ascii="Times New Roman" w:hAnsi="Times New Roman" w:cs="Times New Roman"/>
          <w:spacing w:val="-10"/>
        </w:rPr>
        <w:t xml:space="preserve"> pod nazwą: </w:t>
      </w:r>
      <w:bookmarkStart w:id="0" w:name="_Hlk64622712"/>
      <w:r w:rsidR="00175077" w:rsidRPr="00175077">
        <w:rPr>
          <w:rFonts w:ascii="Times New Roman" w:hAnsi="Times New Roman" w:cs="Times New Roman"/>
          <w:b/>
          <w:bCs/>
        </w:rPr>
        <w:t>„Wymiana pokrycia dachowego budynku Środowiskowego Domu Samopomocy dla Osób z Zaburzeniami Psychicznymi i Niepełnosprawnych Intelektualnie w Chmielniku z siedzibą w Zreczu Dużym 22”</w:t>
      </w:r>
    </w:p>
    <w:bookmarkEnd w:id="0"/>
    <w:p w14:paraId="647EA645" w14:textId="47DE0D4A" w:rsidR="00B8347B" w:rsidRDefault="00703898" w:rsidP="00B8347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obejmujące w szczególności</w:t>
      </w:r>
      <w:r w:rsidR="00B8347B" w:rsidRPr="00B8347B">
        <w:rPr>
          <w:rFonts w:ascii="Times New Roman" w:eastAsia="Times New Roman" w:hAnsi="Times New Roman" w:cs="Times New Roman"/>
          <w:bCs/>
          <w:color w:val="000000"/>
          <w:sz w:val="24"/>
          <w:szCs w:val="24"/>
          <w:lang w:eastAsia="pl-PL"/>
        </w:rPr>
        <w:t xml:space="preserve">: </w:t>
      </w:r>
    </w:p>
    <w:p w14:paraId="716A382A" w14:textId="77777777" w:rsidR="00126E35" w:rsidRPr="00126E35" w:rsidRDefault="00126E35" w:rsidP="00126E3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126E35">
        <w:rPr>
          <w:rFonts w:ascii="Times New Roman" w:eastAsia="Calibri" w:hAnsi="Times New Roman" w:cs="Times New Roman"/>
          <w:color w:val="000000"/>
          <w:sz w:val="24"/>
          <w:szCs w:val="24"/>
        </w:rPr>
        <w:t>- Rozebranie pokrycia połaci dachowych z blachy. Rozbiórkę należy dokonać z zapewnieniem ochrony pomieszczeń użytkowych w sposób zapewniający zabezpieczeniem przed opadami deszczu. Materiał uzyskany z rozbiórki podlegać będzie sukcesywnemu wywozowi,  nie dopuszcza się  zrzucania materiałów z dachu.</w:t>
      </w:r>
      <w:r w:rsidRPr="00126E35">
        <w:rPr>
          <w:rFonts w:ascii="Times New Roman" w:eastAsia="Times New Roman" w:hAnsi="Times New Roman" w:cs="Times New Roman"/>
          <w:b/>
          <w:bCs/>
          <w:sz w:val="24"/>
          <w:szCs w:val="24"/>
          <w:lang w:eastAsia="pl-PL"/>
        </w:rPr>
        <w:t xml:space="preserve"> Wywóz blachy na miejsce wskazane przez zamawiającego – Baza robót  publicznych UMIG Chmielnik przy ul. Mickiewicza.</w:t>
      </w:r>
    </w:p>
    <w:p w14:paraId="12F99766"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Rozebranie obróbek blacharskich, rynien, rur spustowych oraz instalacji odgromowej. Odkrycie konstrukcji dachowej poprzez rozebranie obróbek  blacharskich, rynien i rur spustowych, instalacji odgromowej,  ołacenia dachu,</w:t>
      </w:r>
    </w:p>
    <w:p w14:paraId="0C31EC84"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Ponowny montaż zdemontowanych rynien i rur spustowych,</w:t>
      </w:r>
    </w:p>
    <w:p w14:paraId="724B29DD"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xml:space="preserve">- Ułożenie izolacji na odkrytych krokwiach, przybicie kontrał i łat. Łaty drewniane mocować zgodnie z warunkami wynikającymi z technologii określonej przez producenta blachy. Kontrłaty należy ułożyć na krokwiach. Między krokwiami ułożyć izolację, </w:t>
      </w:r>
    </w:p>
    <w:p w14:paraId="4892000A"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Remont kominów w części dachowej polegający na usunięciu luźnego tynku, wykonaniu nowego tynku oraz malowaniu. W przypadku konieczności rozebrania i ponownego wymurowania któregoś z kominów prace te należy wykonać,</w:t>
      </w:r>
    </w:p>
    <w:p w14:paraId="24186A1C"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xml:space="preserve">-  Ułożenie nowej blachy trapezowej / blachodachówki w kolorze grafitowym, niezbędnych </w:t>
      </w:r>
    </w:p>
    <w:p w14:paraId="57AB6BEB" w14:textId="77777777" w:rsidR="00126E35" w:rsidRPr="00126E35" w:rsidRDefault="00126E35" w:rsidP="00126E35">
      <w:pPr>
        <w:spacing w:line="240" w:lineRule="auto"/>
        <w:ind w:firstLine="360"/>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xml:space="preserve">obróbek  blacharskich przy kominach. </w:t>
      </w:r>
    </w:p>
    <w:p w14:paraId="6657F59A"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Wykonanie instalacji odgromowej,</w:t>
      </w:r>
    </w:p>
    <w:p w14:paraId="57760FFA"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xml:space="preserve">- Usunięcie oznak wilgoci na konstrukcji dachowej, </w:t>
      </w:r>
    </w:p>
    <w:p w14:paraId="674FCD66" w14:textId="77777777" w:rsidR="00126E35" w:rsidRPr="00126E35" w:rsidRDefault="00126E35" w:rsidP="00126E35">
      <w:pPr>
        <w:spacing w:line="240" w:lineRule="auto"/>
        <w:contextualSpacing/>
        <w:jc w:val="both"/>
        <w:rPr>
          <w:rFonts w:ascii="Times New Roman" w:eastAsia="Calibri" w:hAnsi="Times New Roman" w:cs="Times New Roman"/>
          <w:sz w:val="24"/>
          <w:szCs w:val="24"/>
        </w:rPr>
      </w:pPr>
      <w:r w:rsidRPr="00126E35">
        <w:rPr>
          <w:rFonts w:ascii="Times New Roman" w:eastAsia="Calibri" w:hAnsi="Times New Roman" w:cs="Times New Roman"/>
          <w:sz w:val="24"/>
          <w:szCs w:val="24"/>
        </w:rPr>
        <w:t xml:space="preserve">- Impregnację elementów które wymagają takich zabiegów. </w:t>
      </w:r>
    </w:p>
    <w:p w14:paraId="36BE431B" w14:textId="77777777" w:rsidR="00973DB0" w:rsidRPr="00B8347B" w:rsidRDefault="00973DB0" w:rsidP="00B8347B">
      <w:pPr>
        <w:autoSpaceDE w:val="0"/>
        <w:autoSpaceDN w:val="0"/>
        <w:adjustRightInd w:val="0"/>
        <w:spacing w:after="0" w:line="276" w:lineRule="auto"/>
        <w:jc w:val="both"/>
        <w:rPr>
          <w:rFonts w:ascii="Calibri" w:eastAsia="Times New Roman" w:hAnsi="Calibri" w:cs="Calibri"/>
          <w:b/>
          <w:bCs/>
          <w:sz w:val="24"/>
          <w:szCs w:val="24"/>
          <w:lang w:eastAsia="pl-PL"/>
        </w:rPr>
      </w:pPr>
    </w:p>
    <w:p w14:paraId="72D450E1" w14:textId="77777777" w:rsidR="00B8347B" w:rsidRPr="00B8347B" w:rsidRDefault="00B8347B" w:rsidP="00B8347B">
      <w:pPr>
        <w:spacing w:after="0" w:line="240" w:lineRule="auto"/>
        <w:jc w:val="both"/>
        <w:rPr>
          <w:rFonts w:ascii="Times New Roman" w:eastAsia="Times New Roman" w:hAnsi="Times New Roman" w:cs="Times New Roman"/>
          <w:bCs/>
          <w:i/>
          <w:iCs/>
          <w:sz w:val="24"/>
          <w:szCs w:val="24"/>
          <w:lang w:eastAsia="pl-PL"/>
        </w:rPr>
      </w:pPr>
    </w:p>
    <w:p w14:paraId="562FAF96" w14:textId="1DD947EC" w:rsidR="00B8347B" w:rsidRPr="00A67481" w:rsidRDefault="00B8347B" w:rsidP="00B8347B">
      <w:pPr>
        <w:spacing w:after="0" w:line="240" w:lineRule="auto"/>
        <w:jc w:val="both"/>
        <w:rPr>
          <w:rFonts w:ascii="Times New Roman" w:eastAsia="Times New Roman" w:hAnsi="Times New Roman" w:cs="Times New Roman"/>
          <w:bCs/>
          <w:sz w:val="24"/>
          <w:szCs w:val="24"/>
          <w:lang w:eastAsia="pl-PL"/>
        </w:rPr>
      </w:pPr>
      <w:r w:rsidRPr="00A67481">
        <w:rPr>
          <w:rFonts w:ascii="Times New Roman" w:eastAsia="Times New Roman" w:hAnsi="Times New Roman" w:cs="Times New Roman"/>
          <w:bCs/>
          <w:sz w:val="24"/>
          <w:szCs w:val="24"/>
          <w:lang w:eastAsia="pl-PL"/>
        </w:rPr>
        <w:t>2.1. Realizacja zamówienia w terenie –</w:t>
      </w:r>
      <w:r w:rsidRPr="00A67481">
        <w:rPr>
          <w:rFonts w:ascii="Times New Roman" w:eastAsia="Calibri" w:hAnsi="Times New Roman" w:cs="Times New Roman"/>
          <w:bCs/>
          <w:sz w:val="24"/>
          <w:szCs w:val="24"/>
        </w:rPr>
        <w:t>w miejscowości</w:t>
      </w:r>
      <w:r w:rsidR="00703898" w:rsidRPr="00A67481">
        <w:rPr>
          <w:rFonts w:ascii="Times New Roman" w:eastAsia="Calibri" w:hAnsi="Times New Roman" w:cs="Times New Roman"/>
          <w:bCs/>
          <w:sz w:val="24"/>
          <w:szCs w:val="24"/>
        </w:rPr>
        <w:t xml:space="preserve"> </w:t>
      </w:r>
      <w:r w:rsidR="00BF0BA1">
        <w:rPr>
          <w:rFonts w:ascii="Times New Roman" w:eastAsia="Calibri" w:hAnsi="Times New Roman" w:cs="Times New Roman"/>
          <w:bCs/>
          <w:sz w:val="24"/>
          <w:szCs w:val="24"/>
        </w:rPr>
        <w:t>Zdrecze Duże nr 22,</w:t>
      </w:r>
    </w:p>
    <w:p w14:paraId="1D9E6D57" w14:textId="74E341AB"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a)  Przedmiot umowy musi być wykonany zgodnie z obowiązującymi przepisami, normami oraz na ustalonych niniejszą umową warunkach.</w:t>
      </w:r>
    </w:p>
    <w:p w14:paraId="61D576AC" w14:textId="3C783713" w:rsidR="00B8347B" w:rsidRPr="00B8347B" w:rsidRDefault="00BF0BA1" w:rsidP="00B8347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B8347B" w:rsidRPr="00B8347B">
        <w:rPr>
          <w:rFonts w:ascii="Times New Roman" w:eastAsia="Times New Roman" w:hAnsi="Times New Roman" w:cs="Times New Roman"/>
          <w:sz w:val="24"/>
          <w:szCs w:val="24"/>
          <w:lang w:eastAsia="pl-PL"/>
        </w:rPr>
        <w:t>) Wykonawca zobowiązany jest do uzyskania wszelkich niezbędnych opinii, uzgodnień, pozwoleń i weryfikacji w zakresie wynikającym z przepisów prawnych.</w:t>
      </w:r>
    </w:p>
    <w:p w14:paraId="55369D0B" w14:textId="082D44DD" w:rsidR="00B8347B" w:rsidRPr="00B8347B" w:rsidRDefault="00BF0BA1" w:rsidP="00B8347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B8347B" w:rsidRPr="00B8347B">
        <w:rPr>
          <w:rFonts w:ascii="Times New Roman" w:eastAsia="Times New Roman" w:hAnsi="Times New Roman" w:cs="Times New Roman"/>
          <w:sz w:val="24"/>
          <w:szCs w:val="24"/>
          <w:lang w:eastAsia="pl-PL"/>
        </w:rPr>
        <w:t>)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4BB7841D"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p>
    <w:p w14:paraId="28CAC33A" w14:textId="638978F5"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1"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2" w:name="_Hlk65053300"/>
      <w:r w:rsidR="00703898">
        <w:rPr>
          <w:rFonts w:ascii="Times New Roman" w:eastAsia="Times New Roman" w:hAnsi="Times New Roman" w:cs="Times New Roman"/>
          <w:b/>
          <w:bCs/>
          <w:spacing w:val="-3"/>
          <w:sz w:val="24"/>
          <w:szCs w:val="24"/>
          <w:lang w:eastAsia="pl-PL"/>
        </w:rPr>
        <w:t>6</w:t>
      </w:r>
      <w:r w:rsidRPr="00B8347B">
        <w:rPr>
          <w:rFonts w:ascii="Times New Roman" w:eastAsia="Times New Roman" w:hAnsi="Times New Roman" w:cs="Times New Roman"/>
          <w:spacing w:val="-3"/>
          <w:sz w:val="24"/>
          <w:szCs w:val="24"/>
          <w:lang w:eastAsia="pl-PL"/>
        </w:rPr>
        <w:t xml:space="preserve">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2"/>
      <w:r w:rsidRPr="0087570D">
        <w:rPr>
          <w:rFonts w:ascii="Times New Roman" w:eastAsia="Times New Roman" w:hAnsi="Times New Roman" w:cs="Times New Roman"/>
          <w:spacing w:val="-3"/>
          <w:sz w:val="24"/>
          <w:szCs w:val="24"/>
          <w:lang w:eastAsia="pl-PL"/>
        </w:rPr>
        <w:t xml:space="preserve">do </w:t>
      </w:r>
      <w:r w:rsidR="00703898">
        <w:rPr>
          <w:rFonts w:ascii="Times New Roman" w:eastAsia="Times New Roman" w:hAnsi="Times New Roman" w:cs="Times New Roman"/>
          <w:b/>
          <w:spacing w:val="-3"/>
          <w:sz w:val="24"/>
          <w:szCs w:val="24"/>
          <w:lang w:eastAsia="pl-PL"/>
        </w:rPr>
        <w:t>1</w:t>
      </w:r>
      <w:r w:rsidR="00652E0F" w:rsidRPr="0087570D">
        <w:rPr>
          <w:rFonts w:ascii="Times New Roman" w:eastAsia="Times New Roman" w:hAnsi="Times New Roman" w:cs="Times New Roman"/>
          <w:b/>
          <w:spacing w:val="-3"/>
          <w:sz w:val="24"/>
          <w:szCs w:val="24"/>
          <w:lang w:eastAsia="pl-PL"/>
        </w:rPr>
        <w:t>0.</w:t>
      </w:r>
      <w:r w:rsidR="00703898">
        <w:rPr>
          <w:rFonts w:ascii="Times New Roman" w:eastAsia="Times New Roman" w:hAnsi="Times New Roman" w:cs="Times New Roman"/>
          <w:b/>
          <w:spacing w:val="-3"/>
          <w:sz w:val="24"/>
          <w:szCs w:val="24"/>
          <w:lang w:eastAsia="pl-PL"/>
        </w:rPr>
        <w:t>12</w:t>
      </w:r>
      <w:r w:rsidR="00652E0F" w:rsidRPr="0087570D">
        <w:rPr>
          <w:rFonts w:ascii="Times New Roman" w:eastAsia="Times New Roman" w:hAnsi="Times New Roman" w:cs="Times New Roman"/>
          <w:b/>
          <w:spacing w:val="-3"/>
          <w:sz w:val="24"/>
          <w:szCs w:val="24"/>
          <w:lang w:eastAsia="pl-PL"/>
        </w:rPr>
        <w:t>.2021</w:t>
      </w:r>
      <w:r w:rsidR="00703898">
        <w:rPr>
          <w:rFonts w:ascii="Times New Roman" w:eastAsia="Times New Roman" w:hAnsi="Times New Roman" w:cs="Times New Roman"/>
          <w:b/>
          <w:spacing w:val="-3"/>
          <w:sz w:val="24"/>
          <w:szCs w:val="24"/>
          <w:lang w:eastAsia="pl-PL"/>
        </w:rPr>
        <w:t xml:space="preserve"> r. </w:t>
      </w:r>
    </w:p>
    <w:bookmarkEnd w:id="1"/>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Zbigniew Kuza</w:t>
      </w:r>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lastRenderedPageBreak/>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6E5531"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trike/>
          <w:spacing w:val="-3"/>
          <w:sz w:val="24"/>
          <w:szCs w:val="24"/>
          <w:lang w:eastAsia="pl-PL"/>
        </w:rPr>
      </w:pPr>
      <w:r w:rsidRPr="006E5531">
        <w:rPr>
          <w:rFonts w:ascii="Times New Roman" w:eastAsia="Times New Roman" w:hAnsi="Times New Roman" w:cs="Times New Roman"/>
          <w:strike/>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3"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3"/>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17110F"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  każda płatność częściowa nie częściej niż raz w miesiącu,</w:t>
      </w:r>
    </w:p>
    <w:p w14:paraId="296BE03C" w14:textId="77A71073" w:rsidR="00F8417B" w:rsidRPr="0017110F"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co najmniej </w:t>
      </w:r>
      <w:r w:rsidR="006E3308">
        <w:rPr>
          <w:rFonts w:ascii="Times New Roman" w:eastAsia="Calibri" w:hAnsi="Times New Roman" w:cs="Times New Roman"/>
          <w:color w:val="000000"/>
          <w:sz w:val="24"/>
          <w:szCs w:val="24"/>
        </w:rPr>
        <w:t>2</w:t>
      </w:r>
      <w:r w:rsidRPr="0017110F">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17110F"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Pr="0017110F">
        <w:rPr>
          <w:rFonts w:ascii="Times New Roman" w:eastAsia="Calibri" w:hAnsi="Times New Roman" w:cs="Times New Roman"/>
          <w:color w:val="000000"/>
          <w:sz w:val="24"/>
          <w:szCs w:val="24"/>
        </w:rPr>
        <w:t>) podlega akceptacji Zamawiającego.</w:t>
      </w:r>
    </w:p>
    <w:p w14:paraId="75822E64" w14:textId="77777777" w:rsidR="00F8417B" w:rsidRPr="0017110F" w:rsidRDefault="00F8417B" w:rsidP="00F8417B">
      <w:pPr>
        <w:shd w:val="clear" w:color="auto" w:fill="FFFFFF"/>
        <w:tabs>
          <w:tab w:val="left" w:pos="469"/>
        </w:tabs>
        <w:spacing w:after="0" w:line="275" w:lineRule="exact"/>
        <w:ind w:left="720"/>
        <w:jc w:val="both"/>
        <w:rPr>
          <w:rFonts w:ascii="Times New Roman" w:eastAsia="Times New Roman" w:hAnsi="Times New Roman" w:cs="Times New Roman"/>
          <w:spacing w:val="-2"/>
          <w:sz w:val="23"/>
          <w:szCs w:val="23"/>
          <w:lang w:eastAsia="pl-PL"/>
        </w:rPr>
      </w:pP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 xml:space="preserve">Zamawiający będzie dokonywał płatności w ramach mechanizmu podzielonej płatności (split payment)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lastRenderedPageBreak/>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lastRenderedPageBreak/>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zgłoszenia przez zamawiającego zastrzeżeń do projektu umowy o podwykonawstwo, wykonawca, podwykonawca lub dalszy podwykonawca może </w:t>
      </w:r>
      <w:r w:rsidRPr="000F64F6">
        <w:rPr>
          <w:rFonts w:ascii="Times New Roman" w:eastAsia="Times New Roman" w:hAnsi="Times New Roman" w:cs="Times New Roman"/>
          <w:sz w:val="24"/>
          <w:szCs w:val="24"/>
          <w:lang w:eastAsia="pl-PL"/>
        </w:rPr>
        <w:lastRenderedPageBreak/>
        <w:t>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4" w:name="_Hlk65237601"/>
      <w:r w:rsidRPr="00B8347B">
        <w:rPr>
          <w:rFonts w:ascii="Times New Roman" w:eastAsia="Times New Roman" w:hAnsi="Times New Roman" w:cs="Times New Roman"/>
          <w:sz w:val="24"/>
          <w:szCs w:val="24"/>
          <w:lang w:eastAsia="pl-PL"/>
        </w:rPr>
        <w:t>§</w:t>
      </w:r>
      <w:bookmarkEnd w:id="4"/>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lastRenderedPageBreak/>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145D19D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zatwierdzonego przez Inspektora nadzoru inwestorskiego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lastRenderedPageBreak/>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7A3CAA80"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0465DBF3"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52B3BF09"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d) konieczności wprowadzenia robót zamiennych w miejsce wymienionych w dokumentacji projektowej,</w:t>
      </w:r>
    </w:p>
    <w:p w14:paraId="54B49A3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F8D9ABB"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 xml:space="preserve">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w:t>
      </w:r>
      <w:r w:rsidRPr="002C37A9">
        <w:rPr>
          <w:rFonts w:ascii="Times New Roman" w:eastAsia="Times New Roman" w:hAnsi="Times New Roman" w:cs="Times New Roman"/>
          <w:sz w:val="24"/>
          <w:szCs w:val="24"/>
          <w:lang w:eastAsia="pl-PL"/>
        </w:rPr>
        <w:lastRenderedPageBreak/>
        <w:t>udziału w realizacji przedmiotu zamówienia oraz o braku roszczeń podwykonawcy wobec Wykonawcy z tytułu realizacji robót.</w:t>
      </w:r>
    </w:p>
    <w:p w14:paraId="6675D4D8"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4"/>
          <w:lang w:eastAsia="pl-PL"/>
        </w:rPr>
        <w:t xml:space="preserve">g) </w:t>
      </w:r>
      <w:r w:rsidRPr="002C37A9">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5173454C" w14:textId="77777777" w:rsidR="002C37A9" w:rsidRPr="002C37A9" w:rsidRDefault="002C37A9" w:rsidP="002C37A9">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t>h) konieczności wykonania robót dodatkowych na skutek sytuacji niemożliwej wcześniej do przewidzenia,</w:t>
      </w:r>
    </w:p>
    <w:p w14:paraId="4E3664DA"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0"/>
          <w:lang w:eastAsia="pl-PL"/>
        </w:rPr>
        <w:t>w przypadku w</w:t>
      </w:r>
      <w:r w:rsidRPr="002C37A9">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2C37A9">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2C37A9">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696DB979" w14:textId="77777777" w:rsidR="002C37A9" w:rsidRPr="002C37A9" w:rsidRDefault="002C37A9" w:rsidP="002C37A9">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2C37A9">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31714879" w14:textId="77777777" w:rsidR="002C37A9" w:rsidRPr="002C37A9" w:rsidRDefault="002C37A9" w:rsidP="002C37A9">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dopuszcza się możliwość zmiany wynagrodzenia umownego w okolicznościach </w:t>
      </w:r>
      <w:r w:rsidRPr="002C37A9">
        <w:rPr>
          <w:rFonts w:ascii="Times New Roman" w:eastAsia="Times New Roman" w:hAnsi="Times New Roman" w:cs="Times New Roman"/>
          <w:sz w:val="24"/>
          <w:szCs w:val="20"/>
          <w:lang w:eastAsia="pl-PL"/>
        </w:rPr>
        <w:br/>
        <w:t>w przypadku</w:t>
      </w:r>
      <w:r w:rsidRPr="002C37A9">
        <w:rPr>
          <w:rFonts w:ascii="Times New Roman" w:eastAsia="Times New Roman" w:hAnsi="Times New Roman" w:cs="Times New Roman"/>
          <w:spacing w:val="-2"/>
          <w:sz w:val="24"/>
          <w:szCs w:val="20"/>
          <w:lang w:eastAsia="pl-PL"/>
        </w:rPr>
        <w:t xml:space="preserve"> </w:t>
      </w:r>
      <w:r w:rsidRPr="002C37A9">
        <w:rPr>
          <w:rFonts w:ascii="Times New Roman" w:eastAsia="Times New Roman" w:hAnsi="Times New Roman" w:cs="Times New Roman"/>
          <w:sz w:val="24"/>
          <w:szCs w:val="20"/>
          <w:lang w:eastAsia="pl-PL"/>
        </w:rPr>
        <w:t>urzędowej zmiany stawki podatku VAT.</w:t>
      </w:r>
    </w:p>
    <w:p w14:paraId="224F2A56" w14:textId="77777777" w:rsidR="00B8347B" w:rsidRPr="00B8347B" w:rsidRDefault="00B8347B" w:rsidP="00B8347B">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1C8DD5D5" w14:textId="1A793220" w:rsidR="009D7160" w:rsidRDefault="00AD354E" w:rsidP="00AD354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9D7160">
      <w:pPr>
        <w:autoSpaceDE w:val="0"/>
        <w:autoSpaceDN w:val="0"/>
        <w:adjustRightInd w:val="0"/>
        <w:spacing w:after="0" w:line="240"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lastRenderedPageBreak/>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07E09A76"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204AD247"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538D" w14:textId="77777777" w:rsidR="00CC5480" w:rsidRDefault="00CC5480" w:rsidP="009C0CA3">
      <w:pPr>
        <w:spacing w:after="0" w:line="240" w:lineRule="auto"/>
      </w:pPr>
      <w:r>
        <w:separator/>
      </w:r>
    </w:p>
  </w:endnote>
  <w:endnote w:type="continuationSeparator" w:id="0">
    <w:p w14:paraId="6DE0B7EF" w14:textId="77777777" w:rsidR="00CC5480" w:rsidRDefault="00CC5480"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0BB1" w14:textId="77777777" w:rsidR="00CC5480" w:rsidRDefault="00CC5480" w:rsidP="009C0CA3">
      <w:pPr>
        <w:spacing w:after="0" w:line="240" w:lineRule="auto"/>
      </w:pPr>
      <w:r>
        <w:separator/>
      </w:r>
    </w:p>
  </w:footnote>
  <w:footnote w:type="continuationSeparator" w:id="0">
    <w:p w14:paraId="696DF0E2" w14:textId="77777777" w:rsidR="00CC5480" w:rsidRDefault="00CC5480"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6" w:type="pct"/>
      <w:shd w:val="clear" w:color="auto" w:fill="FFFFFF"/>
      <w:tblCellMar>
        <w:left w:w="57" w:type="dxa"/>
        <w:right w:w="57" w:type="dxa"/>
      </w:tblCellMar>
      <w:tblLook w:val="04A0" w:firstRow="1" w:lastRow="0" w:firstColumn="1" w:lastColumn="0" w:noHBand="0" w:noVBand="1"/>
    </w:tblPr>
    <w:tblGrid>
      <w:gridCol w:w="2533"/>
      <w:gridCol w:w="3323"/>
      <w:gridCol w:w="3299"/>
    </w:tblGrid>
    <w:tr w:rsidR="009E7305" w:rsidRPr="009E7305" w14:paraId="2381627B" w14:textId="77777777" w:rsidTr="00BF1F10">
      <w:tc>
        <w:tcPr>
          <w:tcW w:w="1383" w:type="pct"/>
          <w:shd w:val="clear" w:color="auto" w:fill="FFFFFF"/>
        </w:tcPr>
        <w:p w14:paraId="10B6F6AD" w14:textId="0289806B" w:rsidR="009E7305" w:rsidRPr="009E7305" w:rsidRDefault="009E7305" w:rsidP="009E7305">
          <w:pPr>
            <w:spacing w:after="0" w:line="240" w:lineRule="auto"/>
            <w:rPr>
              <w:rFonts w:ascii="Calibri" w:eastAsia="Times New Roman" w:hAnsi="Calibri" w:cs="Times New Roman"/>
              <w:noProof/>
              <w:szCs w:val="24"/>
              <w:lang w:eastAsia="pl-PL"/>
            </w:rPr>
          </w:pPr>
        </w:p>
      </w:tc>
      <w:tc>
        <w:tcPr>
          <w:tcW w:w="1815" w:type="pct"/>
          <w:shd w:val="clear" w:color="auto" w:fill="FFFFFF"/>
        </w:tcPr>
        <w:p w14:paraId="5621F93A" w14:textId="66B18116" w:rsidR="009E7305" w:rsidRPr="009E7305" w:rsidRDefault="009E7305" w:rsidP="009E7305">
          <w:pPr>
            <w:spacing w:after="0" w:line="240" w:lineRule="auto"/>
            <w:ind w:left="-58" w:right="130"/>
            <w:jc w:val="center"/>
            <w:rPr>
              <w:rFonts w:ascii="Calibri" w:eastAsia="Times New Roman" w:hAnsi="Calibri" w:cs="Times New Roman"/>
              <w:noProof/>
              <w:szCs w:val="24"/>
              <w:lang w:eastAsia="pl-PL"/>
            </w:rPr>
          </w:pPr>
        </w:p>
      </w:tc>
      <w:tc>
        <w:tcPr>
          <w:tcW w:w="1802" w:type="pct"/>
          <w:shd w:val="clear" w:color="auto" w:fill="FFFFFF"/>
        </w:tcPr>
        <w:p w14:paraId="7063109E" w14:textId="4EEB2B49" w:rsidR="009E7305" w:rsidRPr="009E7305" w:rsidRDefault="009E7305" w:rsidP="009E7305">
          <w:pPr>
            <w:spacing w:after="0" w:line="240" w:lineRule="auto"/>
            <w:jc w:val="right"/>
            <w:rPr>
              <w:rFonts w:ascii="Calibri" w:eastAsia="Times New Roman" w:hAnsi="Calibri" w:cs="Times New Roman"/>
              <w:noProof/>
              <w:szCs w:val="24"/>
              <w:lang w:eastAsia="pl-PL"/>
            </w:rPr>
          </w:pPr>
        </w:p>
      </w:tc>
    </w:tr>
  </w:tbl>
  <w:p w14:paraId="1745EF17" w14:textId="77777777" w:rsidR="009E7305" w:rsidRDefault="009E7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5"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7"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8"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0"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2"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6"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7"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0"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4"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2"/>
  </w:num>
  <w:num w:numId="2">
    <w:abstractNumId w:val="0"/>
  </w:num>
  <w:num w:numId="3">
    <w:abstractNumId w:val="5"/>
  </w:num>
  <w:num w:numId="4">
    <w:abstractNumId w:val="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abstractNumId w:val="19"/>
    <w:lvlOverride w:ilvl="0">
      <w:startOverride w:val="1"/>
    </w:lvlOverride>
  </w:num>
  <w:num w:numId="9">
    <w:abstractNumId w:val="34"/>
    <w:lvlOverride w:ilvl="0">
      <w:startOverride w:val="9"/>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5"/>
    <w:lvlOverride w:ilvl="0">
      <w:startOverride w:val="1"/>
    </w:lvlOverride>
  </w:num>
  <w:num w:numId="13">
    <w:abstractNumId w:val="29"/>
    <w:lvlOverride w:ilvl="0">
      <w:startOverride w:val="3"/>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23"/>
    <w:lvlOverride w:ilvl="0">
      <w:startOverride w:val="1"/>
    </w:lvlOverride>
  </w:num>
  <w:num w:numId="17">
    <w:abstractNumId w:val="4"/>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num>
  <w:num w:numId="22">
    <w:abstractNumId w:val="26"/>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28"/>
  </w:num>
  <w:num w:numId="26">
    <w:abstractNumId w:val="27"/>
  </w:num>
  <w:num w:numId="27">
    <w:abstractNumId w:val="31"/>
  </w:num>
  <w:num w:numId="28">
    <w:abstractNumId w:val="17"/>
  </w:num>
  <w:num w:numId="29">
    <w:abstractNumId w:val="14"/>
  </w:num>
  <w:num w:numId="30">
    <w:abstractNumId w:val="22"/>
  </w:num>
  <w:num w:numId="31">
    <w:abstractNumId w:val="20"/>
  </w:num>
  <w:num w:numId="32">
    <w:abstractNumId w:val="13"/>
  </w:num>
  <w:num w:numId="33">
    <w:abstractNumId w:val="18"/>
  </w:num>
  <w:num w:numId="34">
    <w:abstractNumId w:val="33"/>
  </w:num>
  <w:num w:numId="35">
    <w:abstractNumId w:val="24"/>
  </w:num>
  <w:num w:numId="36">
    <w:abstractNumId w:val="2"/>
  </w:num>
  <w:num w:numId="37">
    <w:abstractNumId w:val="32"/>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86530"/>
    <w:rsid w:val="000D0437"/>
    <w:rsid w:val="000F64F6"/>
    <w:rsid w:val="00126E35"/>
    <w:rsid w:val="00175077"/>
    <w:rsid w:val="001B400B"/>
    <w:rsid w:val="00261C9D"/>
    <w:rsid w:val="002965D9"/>
    <w:rsid w:val="002C37A9"/>
    <w:rsid w:val="003023A7"/>
    <w:rsid w:val="00313F5D"/>
    <w:rsid w:val="00370B39"/>
    <w:rsid w:val="00373D7E"/>
    <w:rsid w:val="00492925"/>
    <w:rsid w:val="005C4743"/>
    <w:rsid w:val="00652E0F"/>
    <w:rsid w:val="006A54BB"/>
    <w:rsid w:val="006E3308"/>
    <w:rsid w:val="006E5531"/>
    <w:rsid w:val="00703898"/>
    <w:rsid w:val="00763C09"/>
    <w:rsid w:val="008467D2"/>
    <w:rsid w:val="0086220F"/>
    <w:rsid w:val="0087570D"/>
    <w:rsid w:val="00877F83"/>
    <w:rsid w:val="00973DB0"/>
    <w:rsid w:val="009C0CA3"/>
    <w:rsid w:val="009D7160"/>
    <w:rsid w:val="009E7305"/>
    <w:rsid w:val="009F6911"/>
    <w:rsid w:val="00A67481"/>
    <w:rsid w:val="00AD354E"/>
    <w:rsid w:val="00B8347B"/>
    <w:rsid w:val="00BF0BA1"/>
    <w:rsid w:val="00CC5480"/>
    <w:rsid w:val="00D419BB"/>
    <w:rsid w:val="00D615DB"/>
    <w:rsid w:val="00E64C70"/>
    <w:rsid w:val="00EF01E2"/>
    <w:rsid w:val="00F2589E"/>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5473</Words>
  <Characters>32843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19</cp:revision>
  <cp:lastPrinted>2021-05-06T11:42:00Z</cp:lastPrinted>
  <dcterms:created xsi:type="dcterms:W3CDTF">2021-02-25T13:58:00Z</dcterms:created>
  <dcterms:modified xsi:type="dcterms:W3CDTF">2021-06-15T08:28:00Z</dcterms:modified>
</cp:coreProperties>
</file>